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576485.xml.htm"/>
      <w:bookmarkStart w:id="1" w:name="kswkform3_178657648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Abrahams Craig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Craig Justin Abrahams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viant-powerofattorneycab.htm"/>
      <w:bookmarkStart w:id="3" w:name="ksviantpowerofattorneycab"/>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J-1 SCHEDULE J SECTION 16 AND FORM 144 - POWER OF ATTORNEY With respect to holdings of and transactions in securities issued by Viant Technology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 1. 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 2. 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15 day of July, 2026. /s/ Craig Abrahams Craig Abrahams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J-2 Schedule A INDIVIDUALS APPOINTED AS ATTORNEY-IN-FACT, WITH FULL POWER OF SUBSTITUTION AND RESUBSTITUTION Ritesh Patel Arish Gajjar Larry Madden Jessica Schilling David Sincich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86746" TargetMode="External"/><Relationship Id="rId3" Type="http://schemas.openxmlformats.org/officeDocument/2006/relationships/hyperlink" Target="http://www.sec.gov/cgi-bin/browse-edgar?action=getcompany&amp;CIK=00018287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920</Words>
  <Characters>4886</Characters>
  <CharactersWithSpaces>5764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viant-powerofattorneycab</dc:title>
</cp:coreProperties>
</file>