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Viant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Larry Madden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2722 Michelson Drive, Suite 100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Irvine, CA, 92612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949-861-8888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Larry Madden</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1,076,418.00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1,076,418.00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1,076,418.00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89" w:orient="portrait"/>
          <w:cols w:equalWidth="0" w:num="2">
            <w:col w:w="1060" w:space="60"/>
            <w:col w:w="10040"/>
          </w:cols>
          <w:pgMar w:left="360" w:top="126"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Viant Technology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2722 Michelson Drive, Suite 100, Irvine, CALIFORNIA , 92612.</w:t>
      </w:r>
    </w:p>
    <w:p>
      <w:pPr>
        <w:spacing w:after="0" w:line="20" w:lineRule="exact"/>
        <w:rPr>
          <w:sz w:val="20"/>
          <w:szCs w:val="20"/>
          <w:color w:val="auto"/>
        </w:rPr>
      </w:pPr>
    </w:p>
    <w:p>
      <w:pPr>
        <w:jc w:val="right"/>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7 to Schedule 13D (this "Amendment No. 7") amends and supplements the statement 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Schedule 13D filed with the United States Securities and Exchange Commission on June 12, 2024 (as amended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date, the "Schedule 13D"), relating to the Class A common stock, par value $0.001 per share (the "Class A Common Stock"), of Viant Technology Inc., a Delaware corporation (the "Issuer"). Capitalized terms used herein without</w:t>
      </w:r>
    </w:p>
    <w:p>
      <w:pPr>
        <w:spacing w:after="0" w:line="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definition shall have the meaning set forth in the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380"/>
        <w:spacing w:after="0" w:line="259" w:lineRule="auto"/>
        <w:rPr>
          <w:sz w:val="20"/>
          <w:szCs w:val="20"/>
          <w:color w:val="auto"/>
        </w:rPr>
      </w:pPr>
      <w:r>
        <w:rPr>
          <w:rFonts w:ascii="Times New Roman" w:cs="Times New Roman" w:eastAsia="Times New Roman" w:hAnsi="Times New Roman"/>
          <w:sz w:val="21"/>
          <w:szCs w:val="21"/>
          <w:color w:val="auto"/>
        </w:rPr>
        <w:t>Since Amendment No. 6, the Reporting Person acquired an aggregate of 23,489 shares of Class A Common Stock underlying stock options and 44,511 shares of Class A Common Stock underlying RSUs. The stock options and RSUs were awarded to the Reporting Person by the Issuer in consideration for services rendered to the Issuer.</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10b5-1 Trading Plan - June 2026 On June 17, 2026, the Reporting Person entered into a new trading plan pursuant to</w:t>
      </w:r>
    </w:p>
    <w:p>
      <w:pPr>
        <w:sectPr>
          <w:pgSz w:w="11900" w:h="16889" w:orient="portrait"/>
          <w:cols w:equalWidth="0" w:num="1">
            <w:col w:w="11160"/>
          </w:cols>
          <w:pgMar w:left="360" w:top="126" w:right="379" w:bottom="0" w:gutter="0" w:footer="0" w:header="0"/>
          <w:type w:val="continuous"/>
        </w:sectPr>
      </w:pPr>
    </w:p>
    <w:bookmarkStart w:id="2" w:name="page3"/>
    <w:bookmarkEnd w:id="2"/>
    <w:p>
      <w:pPr>
        <w:ind w:left="920" w:right="80"/>
        <w:spacing w:after="0" w:line="234" w:lineRule="auto"/>
        <w:rPr>
          <w:sz w:val="20"/>
          <w:szCs w:val="20"/>
          <w:color w:val="auto"/>
        </w:rPr>
      </w:pPr>
      <w:r>
        <w:rPr>
          <w:rFonts w:ascii="Times New Roman" w:cs="Times New Roman" w:eastAsia="Times New Roman" w:hAnsi="Times New Roman"/>
          <w:sz w:val="22"/>
          <w:szCs w:val="22"/>
          <w:color w:val="auto"/>
        </w:rPr>
        <w:t>Rule 10b5-1 under the Securities Exchange Act of 1934, as amended (the "June 2026 10b5-1 Trading Plan"). Pursuant to the June 2026 10b5-1 Trading Plan, the Broker agreed to make periodic sales of up to an aggregate of 144,978 shares of Class A Common Stock on behalf of the Reporting Person starting on September 16, 2026 through March 31, 2027, less any and all additional shares sold pursuant to the previously disclosed December 2025 10b5-1 Trading Plan. The amount and timing of sales, if any, pursuant to the June 2026 10b5-1 Trading Plan will be determined based on the terms of the June 2026 10b5-1 Trading Plan, market conditions, share price and other factors. This description of the June 2026 10b5-1 Trading Plan does not purport to be complete and is qualified in its entirety by the text of the June 2026 10b5-1 Trading Plan, which is attached as an exhibit to this Schedule 13D and incorporated herein by reference.</w:t>
      </w:r>
    </w:p>
    <w:p>
      <w:pPr>
        <w:spacing w:after="0" w:line="2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40"/>
        <w:spacing w:after="0" w:line="246" w:lineRule="auto"/>
        <w:rPr>
          <w:sz w:val="20"/>
          <w:szCs w:val="20"/>
          <w:color w:val="auto"/>
        </w:rPr>
      </w:pPr>
      <w:r>
        <w:rPr>
          <w:rFonts w:ascii="Times New Roman" w:cs="Times New Roman" w:eastAsia="Times New Roman" w:hAnsi="Times New Roman"/>
          <w:sz w:val="21"/>
          <w:szCs w:val="21"/>
          <w:color w:val="auto"/>
        </w:rPr>
        <w:t>The Reporting Person may be deemed to beneficially own 1,076,418 shares of Class A Common Stock, which consists of (i) 104,978 shares of Class A Common Stock held of record by the Reporting Person, (ii) 497,084 shares of Class A Common Stock underlying stock options that are exercisable or will become exercisable within 60 days of the date hereof and (iii) 474,356 shares of Class A Common Stock underlying Class B Units that are currently convertible on a one-to-one basis. Based upon 20,021,706 shares of Class A Common Stock outstanding as of May 8,</w:t>
      </w:r>
    </w:p>
    <w:p>
      <w:pPr>
        <w:spacing w:after="0" w:line="1" w:lineRule="exact"/>
        <w:rPr>
          <w:sz w:val="20"/>
          <w:szCs w:val="20"/>
          <w:color w:val="auto"/>
        </w:rPr>
      </w:pPr>
    </w:p>
    <w:p>
      <w:pPr>
        <w:ind w:left="920" w:right="60" w:hanging="912"/>
        <w:spacing w:after="0" w:line="232"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2026, as disclosed in the Issuer's Quarterly Report on Form 10-Q filed with the Securities and Exchange Commission on May 11, 2026, the Reporting Person may be deemed to beneficially own 5.13% of the Class A Common Stock. The ownership information assumes (i) the redemption of the Class B Units indirectly held by the Reporting Person for shares of the Issuer's Class A Common Stock on a one-to-one basis and (ii) the exercise of stock options held of record by the Reporting Person that are currently exercisable or will become exercisable within 60 days of the date hereof.</w:t>
      </w:r>
    </w:p>
    <w:p>
      <w:pPr>
        <w:spacing w:after="0" w:line="6" w:lineRule="exact"/>
        <w:rPr>
          <w:rFonts w:ascii="Times New Roman" w:cs="Times New Roman" w:eastAsia="Times New Roman" w:hAnsi="Times New Roman"/>
          <w:sz w:val="22"/>
          <w:szCs w:val="22"/>
          <w:color w:val="auto"/>
        </w:rPr>
      </w:pPr>
    </w:p>
    <w:p>
      <w:pPr>
        <w:ind w:left="920" w:hanging="912"/>
        <w:spacing w:after="0" w:line="183" w:lineRule="auto"/>
        <w:tabs>
          <w:tab w:leader="none" w:pos="920" w:val="left"/>
        </w:tabs>
        <w:numPr>
          <w:ilvl w:val="0"/>
          <w:numId w:val="2"/>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8"/>
          <w:szCs w:val="18"/>
          <w:color w:val="auto"/>
        </w:rPr>
        <w:t>Sole power to vote or direct the vote: 1,076,418 Shared power to vote: 0 Sole power to dispose or direct the</w:t>
      </w:r>
    </w:p>
    <w:p>
      <w:pPr>
        <w:ind w:left="920"/>
        <w:spacing w:after="0"/>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22"/>
          <w:szCs w:val="22"/>
          <w:color w:val="auto"/>
        </w:rPr>
        <w:t>disposition of: 1,076,418 Shared power to dispose or direct the disposition of: 0</w:t>
      </w:r>
    </w:p>
    <w:p>
      <w:pPr>
        <w:spacing w:after="0" w:line="20" w:lineRule="exact"/>
        <w:rPr>
          <w:rFonts w:ascii="Times New Roman" w:cs="Times New Roman" w:eastAsia="Times New Roman" w:hAnsi="Times New Roman"/>
          <w:sz w:val="32"/>
          <w:szCs w:val="32"/>
          <w:color w:val="auto"/>
          <w:vertAlign w:val="subscript"/>
        </w:rPr>
      </w:pPr>
    </w:p>
    <w:p>
      <w:pPr>
        <w:ind w:left="920" w:right="80"/>
        <w:spacing w:after="0" w:line="245" w:lineRule="auto"/>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21"/>
          <w:szCs w:val="21"/>
          <w:color w:val="auto"/>
        </w:rPr>
        <w:t>During the past 60 days, the Reporting Person disposed of an aggregate of 108,496 shares of Class A Common Stock in a series of open-market transactions pursuant to the December 2025 10b5-1 Trading Plan. Details by date, listing the number of shares of Class A Common Stock disposed of, the weighted average price per share and the price range, are provided below. The Reporting Person undertakes to provide, upon request by the staff of the SEC or the Issuer, full information regarding the number of shares sold at each separate price for each transaction. April 21, 2026: 13,283 shares sold for a weighted average price of $10.9109 at prices ranging from $10.64 to $11.43. April 22,</w:t>
      </w:r>
    </w:p>
    <w:p>
      <w:pPr>
        <w:spacing w:after="0" w:line="2" w:lineRule="exact"/>
        <w:rPr>
          <w:rFonts w:ascii="Times New Roman" w:cs="Times New Roman" w:eastAsia="Times New Roman" w:hAnsi="Times New Roman"/>
          <w:sz w:val="32"/>
          <w:szCs w:val="32"/>
          <w:color w:val="auto"/>
          <w:vertAlign w:val="subscript"/>
        </w:rPr>
      </w:pPr>
    </w:p>
    <w:p>
      <w:pPr>
        <w:ind w:left="920"/>
        <w:spacing w:after="0" w:line="230" w:lineRule="auto"/>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22"/>
          <w:szCs w:val="22"/>
          <w:color w:val="auto"/>
        </w:rPr>
        <w:t>2026: 13,263 shares sold for a weighted average price of $10.7387 at prices ranging from $10.39 to $10.955. April</w:t>
      </w:r>
    </w:p>
    <w:p>
      <w:pPr>
        <w:ind w:left="920" w:hanging="912"/>
        <w:spacing w:after="0" w:line="181" w:lineRule="auto"/>
        <w:tabs>
          <w:tab w:leader="none" w:pos="920" w:val="left"/>
        </w:tabs>
        <w:numPr>
          <w:ilvl w:val="0"/>
          <w:numId w:val="2"/>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6"/>
          <w:szCs w:val="16"/>
          <w:color w:val="auto"/>
        </w:rPr>
        <w:t>23, 2026: 12,782 shares sold for a weighted average price of $10.1613 at prices ranging from $10.05 to $10.315. May</w:t>
      </w:r>
    </w:p>
    <w:p>
      <w:pPr>
        <w:ind w:left="920"/>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8, 2026: 18,538 shares sold for a weighted average price of $11.8498 at prices ranging from $11.31 to $12.09. May</w:t>
      </w:r>
    </w:p>
    <w:p>
      <w:pPr>
        <w:ind w:left="920"/>
        <w:spacing w:after="0"/>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1"/>
          <w:szCs w:val="21"/>
          <w:color w:val="auto"/>
        </w:rPr>
        <w:t>11, 2026: 13,826 shares sold for a weighted average price of $11.2907 at prices ranging from $10.86 to $11.82. May</w:t>
      </w:r>
    </w:p>
    <w:p>
      <w:pPr>
        <w:spacing w:after="0" w:line="1" w:lineRule="exact"/>
        <w:rPr>
          <w:rFonts w:ascii="Times New Roman" w:cs="Times New Roman" w:eastAsia="Times New Roman" w:hAnsi="Times New Roman"/>
          <w:sz w:val="28"/>
          <w:szCs w:val="28"/>
          <w:color w:val="auto"/>
          <w:vertAlign w:val="subscript"/>
        </w:rPr>
      </w:pPr>
    </w:p>
    <w:p>
      <w:pPr>
        <w:ind w:left="920"/>
        <w:spacing w:after="0"/>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1"/>
          <w:szCs w:val="21"/>
          <w:color w:val="auto"/>
        </w:rPr>
        <w:t>11, 2026: 3,471 shares sold for a weighted average price of $11.9456 at prices ranging from $11.86 to $12.015. June</w:t>
      </w:r>
    </w:p>
    <w:p>
      <w:pPr>
        <w:spacing w:after="0" w:line="1" w:lineRule="exact"/>
        <w:rPr>
          <w:rFonts w:ascii="Times New Roman" w:cs="Times New Roman" w:eastAsia="Times New Roman" w:hAnsi="Times New Roman"/>
          <w:sz w:val="28"/>
          <w:szCs w:val="28"/>
          <w:color w:val="auto"/>
          <w:vertAlign w:val="subscript"/>
        </w:rPr>
      </w:pPr>
    </w:p>
    <w:p>
      <w:pPr>
        <w:ind w:left="920"/>
        <w:spacing w:after="0"/>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1"/>
          <w:szCs w:val="21"/>
          <w:color w:val="auto"/>
        </w:rPr>
        <w:t>5, 2026: 18,663 shares sold for a weighted average price of $12.2426 at prices ranging from $12.05 to $12.895. June</w:t>
      </w:r>
    </w:p>
    <w:p>
      <w:pPr>
        <w:spacing w:after="0" w:line="1" w:lineRule="exact"/>
        <w:rPr>
          <w:rFonts w:ascii="Times New Roman" w:cs="Times New Roman" w:eastAsia="Times New Roman" w:hAnsi="Times New Roman"/>
          <w:sz w:val="28"/>
          <w:szCs w:val="28"/>
          <w:color w:val="auto"/>
          <w:vertAlign w:val="subscript"/>
        </w:rPr>
      </w:pPr>
    </w:p>
    <w:p>
      <w:pPr>
        <w:ind w:left="920" w:right="40"/>
        <w:spacing w:after="0" w:line="234"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8, 2026: 14,670 shares sold for a weighted average price of $12.0981 at prices ranging from $12.01 to $12.32. On June 15, 2026, the Issuer sold, on the Reporting Person's behalf, 25,376 shares of Class A Common Stock in an open-market transaction for $11.10 per share to cover withholding tax associated with the vesting and settlement of the Reporting Person's RSUs.</w:t>
      </w:r>
    </w:p>
    <w:p>
      <w:pPr>
        <w:spacing w:after="0" w:line="15" w:lineRule="exact"/>
        <w:rPr>
          <w:rFonts w:ascii="Times New Roman" w:cs="Times New Roman" w:eastAsia="Times New Roman" w:hAnsi="Times New Roman"/>
          <w:sz w:val="28"/>
          <w:szCs w:val="28"/>
          <w:color w:val="auto"/>
          <w:vertAlign w:val="subscript"/>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260"/>
        <w:spacing w:after="0" w:line="235" w:lineRule="auto"/>
        <w:rPr>
          <w:sz w:val="20"/>
          <w:szCs w:val="20"/>
          <w:color w:val="auto"/>
        </w:rPr>
      </w:pPr>
      <w:r>
        <w:rPr>
          <w:rFonts w:ascii="Times New Roman" w:cs="Times New Roman" w:eastAsia="Times New Roman" w:hAnsi="Times New Roman"/>
          <w:sz w:val="22"/>
          <w:szCs w:val="22"/>
          <w:color w:val="auto"/>
        </w:rPr>
        <w:t>Item 4 above summarizes certain provisions of the June 2026 10b5-1 Trading Plan and is incorporated herein by reference. A copy of the June 2026 10b5-1 Trading Plan is attached as an exhibit to this Schedule 13D, and is incorporated by reference herein. Except as set forth herein, the Reporting Person does not have any contracts, arrangements, understandings or relationships (legal or otherwise) with any person with respect to any securities of the Issuer,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Exhibit 5: 10b5-1 Trading Plan, dated June 17, 2026.</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Larry Madden</w:t>
      </w:r>
    </w:p>
    <w:p>
      <w:pPr>
        <w:spacing w:after="0" w:line="152" w:lineRule="exact"/>
        <w:rPr>
          <w:sz w:val="20"/>
          <w:szCs w:val="20"/>
          <w:color w:val="auto"/>
        </w:rPr>
      </w:pPr>
    </w:p>
    <w:p>
      <w:pPr>
        <w:ind w:left="3280"/>
        <w:spacing w:after="0"/>
        <w:tabs>
          <w:tab w:leader="none" w:pos="4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Larry Madden</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Name/Title: Chief Financial Officer</w:t>
      </w:r>
    </w:p>
    <w:p>
      <w:pPr>
        <w:spacing w:after="0" w:line="44" w:lineRule="exact"/>
        <w:rPr>
          <w:sz w:val="20"/>
          <w:szCs w:val="20"/>
          <w:color w:val="auto"/>
        </w:rPr>
      </w:pPr>
    </w:p>
    <w:p>
      <w:pPr>
        <w:ind w:left="3280"/>
        <w:spacing w:after="0"/>
        <w:tabs>
          <w:tab w:leader="none" w:pos="4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06/18/2026</w:t>
      </w:r>
    </w:p>
    <w:p>
      <w:pPr>
        <w:sectPr>
          <w:pgSz w:w="11900" w:h="16838" w:orient="portrait"/>
          <w:cols w:equalWidth="0" w:num="1">
            <w:col w:w="11140"/>
          </w:cols>
          <w:pgMar w:left="360" w:top="111" w:right="399" w:bottom="505" w:gutter="0" w:footer="0" w:header="0"/>
        </w:sectPr>
      </w:pPr>
    </w:p>
    <w:bookmarkStart w:id="3" w:name="page4"/>
    <w:bookmarkEnd w:id="3"/>
    <w:p>
      <w:pPr>
        <w:jc w:val="right"/>
        <w:spacing w:after="0"/>
        <w:rPr>
          <w:sz w:val="20"/>
          <w:szCs w:val="20"/>
          <w:color w:val="auto"/>
        </w:rPr>
      </w:pPr>
      <w:r>
        <w:rPr>
          <w:rFonts w:ascii="Arial" w:cs="Arial" w:eastAsia="Arial" w:hAnsi="Arial"/>
          <w:sz w:val="38"/>
          <w:szCs w:val="38"/>
          <w:color w:val="auto"/>
        </w:rPr>
        <w:t>10b5-1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6017895" cy="445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1789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0940" w:type="dxa"/>
            <w:vAlign w:val="bottom"/>
            <w:gridSpan w:val="6"/>
          </w:tcPr>
          <w:p>
            <w:pPr>
              <w:spacing w:after="0"/>
              <w:rPr>
                <w:sz w:val="20"/>
                <w:szCs w:val="20"/>
                <w:color w:val="auto"/>
              </w:rPr>
            </w:pPr>
            <w:r>
              <w:rPr>
                <w:rFonts w:ascii="Arial" w:cs="Arial" w:eastAsia="Arial" w:hAnsi="Arial"/>
                <w:sz w:val="20"/>
                <w:szCs w:val="20"/>
                <w:b w:val="1"/>
                <w:bCs w:val="1"/>
                <w:color w:val="auto"/>
              </w:rPr>
              <w:t>10b5-1 STOCK TRADING PLAN</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23"/>
        </w:trPr>
        <w:tc>
          <w:tcPr>
            <w:tcW w:w="20" w:type="dxa"/>
            <w:vAlign w:val="bottom"/>
          </w:tcPr>
          <w:p>
            <w:pPr>
              <w:spacing w:after="0"/>
              <w:rPr>
                <w:sz w:val="19"/>
                <w:szCs w:val="19"/>
                <w:color w:val="auto"/>
              </w:rPr>
            </w:pPr>
          </w:p>
        </w:tc>
        <w:tc>
          <w:tcPr>
            <w:tcW w:w="1000" w:type="dxa"/>
            <w:vAlign w:val="bottom"/>
            <w:tcBorders>
              <w:bottom w:val="single" w:sz="8" w:color="auto"/>
            </w:tcBorders>
            <w:gridSpan w:val="2"/>
          </w:tcPr>
          <w:p>
            <w:pPr>
              <w:spacing w:after="0" w:line="223" w:lineRule="exact"/>
              <w:rPr>
                <w:sz w:val="20"/>
                <w:szCs w:val="20"/>
                <w:color w:val="auto"/>
              </w:rPr>
            </w:pPr>
            <w:r>
              <w:rPr>
                <w:rFonts w:ascii="Arial" w:cs="Arial" w:eastAsia="Arial" w:hAnsi="Arial"/>
                <w:sz w:val="20"/>
                <w:szCs w:val="20"/>
                <w:b w:val="1"/>
                <w:bCs w:val="1"/>
                <w:color w:val="auto"/>
                <w:w w:val="97"/>
              </w:rPr>
              <w:t>SECTION I</w:t>
            </w:r>
          </w:p>
        </w:tc>
        <w:tc>
          <w:tcPr>
            <w:tcW w:w="9920" w:type="dxa"/>
            <w:vAlign w:val="bottom"/>
            <w:gridSpan w:val="3"/>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b w:val="1"/>
                <w:bCs w:val="1"/>
                <w:color w:val="auto"/>
              </w:rPr>
              <w:t>2</w:t>
            </w:r>
          </w:p>
        </w:tc>
      </w:tr>
      <w:tr>
        <w:trPr>
          <w:trHeight w:val="280"/>
        </w:trPr>
        <w:tc>
          <w:tcPr>
            <w:tcW w:w="20" w:type="dxa"/>
            <w:vAlign w:val="bottom"/>
          </w:tcPr>
          <w:p>
            <w:pPr>
              <w:spacing w:after="0"/>
              <w:rPr>
                <w:sz w:val="24"/>
                <w:szCs w:val="24"/>
                <w:color w:val="auto"/>
              </w:rPr>
            </w:pPr>
          </w:p>
        </w:tc>
        <w:tc>
          <w:tcPr>
            <w:tcW w:w="10920" w:type="dxa"/>
            <w:vAlign w:val="bottom"/>
            <w:gridSpan w:val="5"/>
          </w:tcPr>
          <w:p>
            <w:pPr>
              <w:spacing w:after="0"/>
              <w:rPr>
                <w:sz w:val="20"/>
                <w:szCs w:val="20"/>
                <w:color w:val="auto"/>
              </w:rPr>
            </w:pPr>
            <w:r>
              <w:rPr>
                <w:rFonts w:ascii="Arial" w:cs="Arial" w:eastAsia="Arial" w:hAnsi="Arial"/>
                <w:sz w:val="20"/>
                <w:szCs w:val="20"/>
                <w:b w:val="1"/>
                <w:bCs w:val="1"/>
                <w:color w:val="auto"/>
              </w:rPr>
              <w:t>STOCK TRADING PLAN OVERVIEW</w:t>
            </w:r>
          </w:p>
        </w:tc>
        <w:tc>
          <w:tcPr>
            <w:tcW w:w="280" w:type="dxa"/>
            <w:vAlign w:val="bottom"/>
            <w:gridSpan w:val="2"/>
          </w:tcPr>
          <w:p>
            <w:pPr>
              <w:jc w:val="right"/>
              <w:spacing w:after="0"/>
              <w:rPr>
                <w:sz w:val="20"/>
                <w:szCs w:val="20"/>
                <w:color w:val="auto"/>
              </w:rPr>
            </w:pPr>
            <w:r>
              <w:rPr>
                <w:rFonts w:ascii="Arial" w:cs="Arial" w:eastAsia="Arial" w:hAnsi="Arial"/>
                <w:sz w:val="20"/>
                <w:szCs w:val="20"/>
                <w:b w:val="1"/>
                <w:bCs w:val="1"/>
                <w:color w:val="auto"/>
              </w:rPr>
              <w:t>2</w:t>
            </w:r>
          </w:p>
        </w:tc>
      </w:tr>
      <w:tr>
        <w:trPr>
          <w:trHeight w:val="213"/>
        </w:trPr>
        <w:tc>
          <w:tcPr>
            <w:tcW w:w="20" w:type="dxa"/>
            <w:vAlign w:val="bottom"/>
          </w:tcPr>
          <w:p>
            <w:pPr>
              <w:spacing w:after="0"/>
              <w:rPr>
                <w:sz w:val="18"/>
                <w:szCs w:val="18"/>
                <w:color w:val="auto"/>
              </w:rPr>
            </w:pPr>
          </w:p>
        </w:tc>
        <w:tc>
          <w:tcPr>
            <w:tcW w:w="1060" w:type="dxa"/>
            <w:vAlign w:val="bottom"/>
            <w:tcBorders>
              <w:bottom w:val="single" w:sz="8" w:color="auto"/>
            </w:tcBorders>
            <w:gridSpan w:val="3"/>
          </w:tcPr>
          <w:p>
            <w:pPr>
              <w:spacing w:after="0" w:line="212" w:lineRule="exact"/>
              <w:rPr>
                <w:sz w:val="20"/>
                <w:szCs w:val="20"/>
                <w:color w:val="auto"/>
              </w:rPr>
            </w:pPr>
            <w:r>
              <w:rPr>
                <w:rFonts w:ascii="Arial" w:cs="Arial" w:eastAsia="Arial" w:hAnsi="Arial"/>
                <w:sz w:val="20"/>
                <w:szCs w:val="20"/>
                <w:b w:val="1"/>
                <w:bCs w:val="1"/>
                <w:color w:val="auto"/>
                <w:w w:val="98"/>
              </w:rPr>
              <w:t>SECTION II</w:t>
            </w:r>
          </w:p>
        </w:tc>
        <w:tc>
          <w:tcPr>
            <w:tcW w:w="98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line="212" w:lineRule="exact"/>
              <w:rPr>
                <w:sz w:val="20"/>
                <w:szCs w:val="20"/>
                <w:color w:val="auto"/>
              </w:rPr>
            </w:pPr>
            <w:r>
              <w:rPr>
                <w:rFonts w:ascii="Arial" w:cs="Arial" w:eastAsia="Arial" w:hAnsi="Arial"/>
                <w:sz w:val="20"/>
                <w:szCs w:val="20"/>
                <w:b w:val="1"/>
                <w:bCs w:val="1"/>
                <w:color w:val="auto"/>
              </w:rPr>
              <w:t>3</w:t>
            </w:r>
          </w:p>
        </w:tc>
      </w:tr>
      <w:tr>
        <w:trPr>
          <w:trHeight w:val="282"/>
        </w:trPr>
        <w:tc>
          <w:tcPr>
            <w:tcW w:w="20" w:type="dxa"/>
            <w:vAlign w:val="bottom"/>
          </w:tcPr>
          <w:p>
            <w:pPr>
              <w:spacing w:after="0"/>
              <w:rPr>
                <w:sz w:val="24"/>
                <w:szCs w:val="24"/>
                <w:color w:val="auto"/>
              </w:rPr>
            </w:pPr>
          </w:p>
        </w:tc>
        <w:tc>
          <w:tcPr>
            <w:tcW w:w="10920" w:type="dxa"/>
            <w:vAlign w:val="bottom"/>
            <w:gridSpan w:val="5"/>
          </w:tcPr>
          <w:p>
            <w:pPr>
              <w:spacing w:after="0"/>
              <w:rPr>
                <w:sz w:val="20"/>
                <w:szCs w:val="20"/>
                <w:color w:val="auto"/>
              </w:rPr>
            </w:pPr>
            <w:r>
              <w:rPr>
                <w:rFonts w:ascii="Arial" w:cs="Arial" w:eastAsia="Arial" w:hAnsi="Arial"/>
                <w:sz w:val="20"/>
                <w:szCs w:val="20"/>
                <w:b w:val="1"/>
                <w:bCs w:val="1"/>
                <w:color w:val="auto"/>
              </w:rPr>
              <w:t>Equity Information</w:t>
            </w:r>
          </w:p>
        </w:tc>
        <w:tc>
          <w:tcPr>
            <w:tcW w:w="280" w:type="dxa"/>
            <w:vAlign w:val="bottom"/>
            <w:gridSpan w:val="2"/>
          </w:tcPr>
          <w:p>
            <w:pPr>
              <w:jc w:val="right"/>
              <w:spacing w:after="0"/>
              <w:rPr>
                <w:sz w:val="20"/>
                <w:szCs w:val="20"/>
                <w:color w:val="auto"/>
              </w:rPr>
            </w:pPr>
            <w:r>
              <w:rPr>
                <w:rFonts w:ascii="Arial" w:cs="Arial" w:eastAsia="Arial" w:hAnsi="Arial"/>
                <w:sz w:val="20"/>
                <w:szCs w:val="20"/>
                <w:b w:val="1"/>
                <w:bCs w:val="1"/>
                <w:color w:val="auto"/>
              </w:rPr>
              <w:t>3</w:t>
            </w:r>
          </w:p>
        </w:tc>
      </w:tr>
      <w:tr>
        <w:trPr>
          <w:trHeight w:val="255"/>
        </w:trPr>
        <w:tc>
          <w:tcPr>
            <w:tcW w:w="20" w:type="dxa"/>
            <w:vAlign w:val="bottom"/>
          </w:tcPr>
          <w:p>
            <w:pPr>
              <w:spacing w:after="0"/>
              <w:rPr>
                <w:sz w:val="22"/>
                <w:szCs w:val="22"/>
                <w:color w:val="auto"/>
              </w:rPr>
            </w:pPr>
          </w:p>
        </w:tc>
        <w:tc>
          <w:tcPr>
            <w:tcW w:w="10920" w:type="dxa"/>
            <w:vAlign w:val="bottom"/>
            <w:gridSpan w:val="5"/>
          </w:tcPr>
          <w:p>
            <w:pPr>
              <w:spacing w:after="0"/>
              <w:rPr>
                <w:sz w:val="20"/>
                <w:szCs w:val="20"/>
                <w:color w:val="auto"/>
              </w:rPr>
            </w:pPr>
            <w:r>
              <w:rPr>
                <w:rFonts w:ascii="Arial" w:cs="Arial" w:eastAsia="Arial" w:hAnsi="Arial"/>
                <w:sz w:val="20"/>
                <w:szCs w:val="20"/>
                <w:color w:val="auto"/>
              </w:rPr>
              <w:t>CLIENT</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3</w:t>
            </w:r>
          </w:p>
        </w:tc>
      </w:tr>
      <w:tr>
        <w:trPr>
          <w:trHeight w:val="213"/>
        </w:trPr>
        <w:tc>
          <w:tcPr>
            <w:tcW w:w="20" w:type="dxa"/>
            <w:vAlign w:val="bottom"/>
          </w:tcPr>
          <w:p>
            <w:pPr>
              <w:spacing w:after="0"/>
              <w:rPr>
                <w:sz w:val="18"/>
                <w:szCs w:val="18"/>
                <w:color w:val="auto"/>
              </w:rPr>
            </w:pPr>
          </w:p>
        </w:tc>
        <w:tc>
          <w:tcPr>
            <w:tcW w:w="10920" w:type="dxa"/>
            <w:vAlign w:val="bottom"/>
            <w:gridSpan w:val="5"/>
          </w:tcPr>
          <w:p>
            <w:pPr>
              <w:spacing w:after="0" w:line="212" w:lineRule="exact"/>
              <w:rPr>
                <w:sz w:val="20"/>
                <w:szCs w:val="20"/>
                <w:color w:val="auto"/>
              </w:rPr>
            </w:pPr>
            <w:r>
              <w:rPr>
                <w:rFonts w:ascii="Arial" w:cs="Arial" w:eastAsia="Arial" w:hAnsi="Arial"/>
                <w:sz w:val="20"/>
                <w:szCs w:val="20"/>
                <w:b w:val="1"/>
                <w:bCs w:val="1"/>
                <w:color w:val="auto"/>
              </w:rPr>
              <w:t>SECTION III</w:t>
            </w:r>
          </w:p>
        </w:tc>
        <w:tc>
          <w:tcPr>
            <w:tcW w:w="280" w:type="dxa"/>
            <w:vAlign w:val="bottom"/>
            <w:gridSpan w:val="2"/>
          </w:tcPr>
          <w:p>
            <w:pPr>
              <w:jc w:val="right"/>
              <w:spacing w:after="0" w:line="212" w:lineRule="exact"/>
              <w:rPr>
                <w:sz w:val="20"/>
                <w:szCs w:val="20"/>
                <w:color w:val="auto"/>
              </w:rPr>
            </w:pPr>
            <w:r>
              <w:rPr>
                <w:rFonts w:ascii="Arial" w:cs="Arial" w:eastAsia="Arial" w:hAnsi="Arial"/>
                <w:sz w:val="20"/>
                <w:szCs w:val="20"/>
                <w:b w:val="1"/>
                <w:bCs w:val="1"/>
                <w:color w:val="auto"/>
              </w:rPr>
              <w:t>4</w:t>
            </w: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3"/>
            <w:shd w:val="clear" w:color="auto" w:fill="000000"/>
          </w:tcPr>
          <w:p>
            <w:pPr>
              <w:spacing w:after="0" w:line="20" w:lineRule="exact"/>
              <w:rPr>
                <w:sz w:val="1"/>
                <w:szCs w:val="1"/>
                <w:color w:val="auto"/>
              </w:rPr>
            </w:pPr>
          </w:p>
        </w:tc>
        <w:tc>
          <w:tcPr>
            <w:tcW w:w="9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r>
      <w:tr>
        <w:trPr>
          <w:trHeight w:val="280"/>
        </w:trPr>
        <w:tc>
          <w:tcPr>
            <w:tcW w:w="20" w:type="dxa"/>
            <w:vAlign w:val="bottom"/>
          </w:tcPr>
          <w:p>
            <w:pPr>
              <w:spacing w:after="0"/>
              <w:rPr>
                <w:sz w:val="24"/>
                <w:szCs w:val="24"/>
                <w:color w:val="auto"/>
              </w:rPr>
            </w:pPr>
          </w:p>
        </w:tc>
        <w:tc>
          <w:tcPr>
            <w:tcW w:w="10920" w:type="dxa"/>
            <w:vAlign w:val="bottom"/>
            <w:gridSpan w:val="5"/>
          </w:tcPr>
          <w:p>
            <w:pPr>
              <w:spacing w:after="0"/>
              <w:rPr>
                <w:sz w:val="20"/>
                <w:szCs w:val="20"/>
                <w:color w:val="auto"/>
              </w:rPr>
            </w:pPr>
            <w:r>
              <w:rPr>
                <w:rFonts w:ascii="Arial" w:cs="Arial" w:eastAsia="Arial" w:hAnsi="Arial"/>
                <w:sz w:val="20"/>
                <w:szCs w:val="20"/>
                <w:b w:val="1"/>
                <w:bCs w:val="1"/>
                <w:color w:val="auto"/>
              </w:rPr>
              <w:t>Share Trading Instructions</w:t>
            </w:r>
          </w:p>
        </w:tc>
        <w:tc>
          <w:tcPr>
            <w:tcW w:w="280" w:type="dxa"/>
            <w:vAlign w:val="bottom"/>
            <w:gridSpan w:val="2"/>
          </w:tcPr>
          <w:p>
            <w:pPr>
              <w:jc w:val="right"/>
              <w:spacing w:after="0"/>
              <w:rPr>
                <w:sz w:val="20"/>
                <w:szCs w:val="20"/>
                <w:color w:val="auto"/>
              </w:rPr>
            </w:pPr>
            <w:r>
              <w:rPr>
                <w:rFonts w:ascii="Arial" w:cs="Arial" w:eastAsia="Arial" w:hAnsi="Arial"/>
                <w:sz w:val="20"/>
                <w:szCs w:val="20"/>
                <w:b w:val="1"/>
                <w:bCs w:val="1"/>
                <w:color w:val="auto"/>
              </w:rPr>
              <w:t>4</w:t>
            </w:r>
          </w:p>
        </w:tc>
      </w:tr>
      <w:tr>
        <w:trPr>
          <w:trHeight w:val="213"/>
        </w:trPr>
        <w:tc>
          <w:tcPr>
            <w:tcW w:w="20" w:type="dxa"/>
            <w:vAlign w:val="bottom"/>
          </w:tcPr>
          <w:p>
            <w:pPr>
              <w:spacing w:after="0"/>
              <w:rPr>
                <w:sz w:val="18"/>
                <w:szCs w:val="18"/>
                <w:color w:val="auto"/>
              </w:rPr>
            </w:pPr>
          </w:p>
        </w:tc>
        <w:tc>
          <w:tcPr>
            <w:tcW w:w="10920" w:type="dxa"/>
            <w:vAlign w:val="bottom"/>
            <w:gridSpan w:val="5"/>
          </w:tcPr>
          <w:p>
            <w:pPr>
              <w:spacing w:after="0" w:line="212" w:lineRule="exact"/>
              <w:rPr>
                <w:sz w:val="20"/>
                <w:szCs w:val="20"/>
                <w:color w:val="auto"/>
              </w:rPr>
            </w:pPr>
            <w:r>
              <w:rPr>
                <w:rFonts w:ascii="Arial" w:cs="Arial" w:eastAsia="Arial" w:hAnsi="Arial"/>
                <w:sz w:val="20"/>
                <w:szCs w:val="20"/>
                <w:b w:val="1"/>
                <w:bCs w:val="1"/>
                <w:color w:val="auto"/>
              </w:rPr>
              <w:t>SECTION IV</w:t>
            </w:r>
          </w:p>
        </w:tc>
        <w:tc>
          <w:tcPr>
            <w:tcW w:w="280" w:type="dxa"/>
            <w:vAlign w:val="bottom"/>
            <w:gridSpan w:val="2"/>
          </w:tcPr>
          <w:p>
            <w:pPr>
              <w:jc w:val="right"/>
              <w:spacing w:after="0" w:line="212" w:lineRule="exact"/>
              <w:rPr>
                <w:sz w:val="20"/>
                <w:szCs w:val="20"/>
                <w:color w:val="auto"/>
              </w:rPr>
            </w:pPr>
            <w:r>
              <w:rPr>
                <w:rFonts w:ascii="Arial" w:cs="Arial" w:eastAsia="Arial" w:hAnsi="Arial"/>
                <w:sz w:val="20"/>
                <w:szCs w:val="20"/>
                <w:b w:val="1"/>
                <w:bCs w:val="1"/>
                <w:color w:val="auto"/>
              </w:rPr>
              <w:t>5</w:t>
            </w: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3"/>
            <w:shd w:val="clear" w:color="auto" w:fill="000000"/>
          </w:tcPr>
          <w:p>
            <w:pPr>
              <w:spacing w:after="0" w:line="20" w:lineRule="exact"/>
              <w:rPr>
                <w:sz w:val="1"/>
                <w:szCs w:val="1"/>
                <w:color w:val="auto"/>
              </w:rPr>
            </w:pPr>
          </w:p>
        </w:tc>
        <w:tc>
          <w:tcPr>
            <w:tcW w:w="98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r>
      <w:tr>
        <w:trPr>
          <w:trHeight w:val="282"/>
        </w:trPr>
        <w:tc>
          <w:tcPr>
            <w:tcW w:w="20" w:type="dxa"/>
            <w:vAlign w:val="bottom"/>
          </w:tcPr>
          <w:p>
            <w:pPr>
              <w:spacing w:after="0"/>
              <w:rPr>
                <w:sz w:val="24"/>
                <w:szCs w:val="24"/>
                <w:color w:val="auto"/>
              </w:rPr>
            </w:pPr>
          </w:p>
        </w:tc>
        <w:tc>
          <w:tcPr>
            <w:tcW w:w="10920" w:type="dxa"/>
            <w:vAlign w:val="bottom"/>
            <w:gridSpan w:val="5"/>
          </w:tcPr>
          <w:p>
            <w:pPr>
              <w:spacing w:after="0"/>
              <w:rPr>
                <w:sz w:val="20"/>
                <w:szCs w:val="20"/>
                <w:color w:val="auto"/>
              </w:rPr>
            </w:pPr>
            <w:r>
              <w:rPr>
                <w:rFonts w:ascii="Arial" w:cs="Arial" w:eastAsia="Arial" w:hAnsi="Arial"/>
                <w:sz w:val="20"/>
                <w:szCs w:val="20"/>
                <w:b w:val="1"/>
                <w:bCs w:val="1"/>
                <w:color w:val="auto"/>
              </w:rPr>
              <w:t>Notices, Signatures and Acknowledgements</w:t>
            </w:r>
          </w:p>
        </w:tc>
        <w:tc>
          <w:tcPr>
            <w:tcW w:w="280" w:type="dxa"/>
            <w:vAlign w:val="bottom"/>
            <w:gridSpan w:val="2"/>
          </w:tcPr>
          <w:p>
            <w:pPr>
              <w:jc w:val="right"/>
              <w:spacing w:after="0"/>
              <w:rPr>
                <w:sz w:val="20"/>
                <w:szCs w:val="20"/>
                <w:color w:val="auto"/>
              </w:rPr>
            </w:pPr>
            <w:r>
              <w:rPr>
                <w:rFonts w:ascii="Arial" w:cs="Arial" w:eastAsia="Arial" w:hAnsi="Arial"/>
                <w:sz w:val="20"/>
                <w:szCs w:val="20"/>
                <w:b w:val="1"/>
                <w:bCs w:val="1"/>
                <w:color w:val="auto"/>
              </w:rPr>
              <w:t>5</w:t>
            </w:r>
          </w:p>
        </w:tc>
      </w:tr>
      <w:tr>
        <w:trPr>
          <w:trHeight w:val="257"/>
        </w:trPr>
        <w:tc>
          <w:tcPr>
            <w:tcW w:w="20" w:type="dxa"/>
            <w:vAlign w:val="bottom"/>
          </w:tcPr>
          <w:p>
            <w:pPr>
              <w:spacing w:after="0"/>
              <w:rPr>
                <w:sz w:val="22"/>
                <w:szCs w:val="22"/>
                <w:color w:val="auto"/>
              </w:rPr>
            </w:pPr>
          </w:p>
        </w:tc>
        <w:tc>
          <w:tcPr>
            <w:tcW w:w="10920" w:type="dxa"/>
            <w:vAlign w:val="bottom"/>
            <w:gridSpan w:val="5"/>
          </w:tcPr>
          <w:p>
            <w:pPr>
              <w:spacing w:after="0"/>
              <w:rPr>
                <w:sz w:val="20"/>
                <w:szCs w:val="20"/>
                <w:color w:val="auto"/>
              </w:rPr>
            </w:pPr>
            <w:r>
              <w:rPr>
                <w:rFonts w:ascii="Arial" w:cs="Arial" w:eastAsia="Arial" w:hAnsi="Arial"/>
                <w:sz w:val="20"/>
                <w:szCs w:val="20"/>
                <w:color w:val="auto"/>
              </w:rPr>
              <w:t>CLIENT</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5</w:t>
            </w:r>
          </w:p>
        </w:tc>
      </w:tr>
      <w:tr>
        <w:trPr>
          <w:trHeight w:val="257"/>
        </w:trPr>
        <w:tc>
          <w:tcPr>
            <w:tcW w:w="20" w:type="dxa"/>
            <w:vAlign w:val="bottom"/>
          </w:tcPr>
          <w:p>
            <w:pPr>
              <w:spacing w:after="0"/>
              <w:rPr>
                <w:sz w:val="22"/>
                <w:szCs w:val="22"/>
                <w:color w:val="auto"/>
              </w:rPr>
            </w:pPr>
          </w:p>
        </w:tc>
        <w:tc>
          <w:tcPr>
            <w:tcW w:w="10920" w:type="dxa"/>
            <w:vAlign w:val="bottom"/>
            <w:gridSpan w:val="5"/>
          </w:tcPr>
          <w:p>
            <w:pPr>
              <w:spacing w:after="0"/>
              <w:rPr>
                <w:sz w:val="20"/>
                <w:szCs w:val="20"/>
                <w:color w:val="auto"/>
              </w:rPr>
            </w:pPr>
            <w:r>
              <w:rPr>
                <w:rFonts w:ascii="Arial" w:cs="Arial" w:eastAsia="Arial" w:hAnsi="Arial"/>
                <w:sz w:val="20"/>
                <w:szCs w:val="20"/>
                <w:color w:val="auto"/>
              </w:rPr>
              <w:t>GS ENTITY</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6</w:t>
            </w:r>
          </w:p>
        </w:tc>
      </w:tr>
      <w:tr>
        <w:trPr>
          <w:trHeight w:val="254"/>
        </w:trPr>
        <w:tc>
          <w:tcPr>
            <w:tcW w:w="20" w:type="dxa"/>
            <w:vAlign w:val="bottom"/>
          </w:tcPr>
          <w:p>
            <w:pPr>
              <w:spacing w:after="0"/>
              <w:rPr>
                <w:sz w:val="22"/>
                <w:szCs w:val="22"/>
                <w:color w:val="auto"/>
              </w:rPr>
            </w:pPr>
          </w:p>
        </w:tc>
        <w:tc>
          <w:tcPr>
            <w:tcW w:w="10920" w:type="dxa"/>
            <w:vAlign w:val="bottom"/>
            <w:gridSpan w:val="5"/>
          </w:tcPr>
          <w:p>
            <w:pPr>
              <w:spacing w:after="0"/>
              <w:rPr>
                <w:sz w:val="20"/>
                <w:szCs w:val="20"/>
                <w:color w:val="auto"/>
              </w:rPr>
            </w:pPr>
            <w:r>
              <w:rPr>
                <w:rFonts w:ascii="Arial" w:cs="Arial" w:eastAsia="Arial" w:hAnsi="Arial"/>
                <w:sz w:val="20"/>
                <w:szCs w:val="20"/>
                <w:color w:val="auto"/>
              </w:rPr>
              <w:t>ISSUER</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7</w:t>
            </w:r>
          </w:p>
        </w:tc>
      </w:tr>
      <w:tr>
        <w:trPr>
          <w:trHeight w:val="213"/>
        </w:trPr>
        <w:tc>
          <w:tcPr>
            <w:tcW w:w="20" w:type="dxa"/>
            <w:vAlign w:val="bottom"/>
          </w:tcPr>
          <w:p>
            <w:pPr>
              <w:spacing w:after="0"/>
              <w:rPr>
                <w:sz w:val="18"/>
                <w:szCs w:val="18"/>
                <w:color w:val="auto"/>
              </w:rPr>
            </w:pPr>
          </w:p>
        </w:tc>
        <w:tc>
          <w:tcPr>
            <w:tcW w:w="1100" w:type="dxa"/>
            <w:vAlign w:val="bottom"/>
            <w:tcBorders>
              <w:bottom w:val="single" w:sz="8" w:color="auto"/>
            </w:tcBorders>
            <w:gridSpan w:val="4"/>
          </w:tcPr>
          <w:p>
            <w:pPr>
              <w:spacing w:after="0" w:line="212" w:lineRule="exact"/>
              <w:rPr>
                <w:sz w:val="20"/>
                <w:szCs w:val="20"/>
                <w:color w:val="auto"/>
              </w:rPr>
            </w:pPr>
            <w:r>
              <w:rPr>
                <w:rFonts w:ascii="Arial" w:cs="Arial" w:eastAsia="Arial" w:hAnsi="Arial"/>
                <w:sz w:val="20"/>
                <w:szCs w:val="20"/>
                <w:b w:val="1"/>
                <w:bCs w:val="1"/>
                <w:color w:val="auto"/>
                <w:w w:val="98"/>
              </w:rPr>
              <w:t>SECTION V</w:t>
            </w:r>
          </w:p>
        </w:tc>
        <w:tc>
          <w:tcPr>
            <w:tcW w:w="9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line="212" w:lineRule="exact"/>
              <w:rPr>
                <w:sz w:val="20"/>
                <w:szCs w:val="20"/>
                <w:color w:val="auto"/>
              </w:rPr>
            </w:pPr>
            <w:r>
              <w:rPr>
                <w:rFonts w:ascii="Arial" w:cs="Arial" w:eastAsia="Arial" w:hAnsi="Arial"/>
                <w:sz w:val="20"/>
                <w:szCs w:val="20"/>
                <w:b w:val="1"/>
                <w:bCs w:val="1"/>
                <w:color w:val="auto"/>
              </w:rPr>
              <w:t>8</w:t>
            </w:r>
          </w:p>
        </w:tc>
      </w:tr>
      <w:tr>
        <w:trPr>
          <w:trHeight w:val="280"/>
        </w:trPr>
        <w:tc>
          <w:tcPr>
            <w:tcW w:w="20" w:type="dxa"/>
            <w:vAlign w:val="bottom"/>
          </w:tcPr>
          <w:p>
            <w:pPr>
              <w:spacing w:after="0"/>
              <w:rPr>
                <w:sz w:val="24"/>
                <w:szCs w:val="24"/>
                <w:color w:val="auto"/>
              </w:rPr>
            </w:pPr>
          </w:p>
        </w:tc>
        <w:tc>
          <w:tcPr>
            <w:tcW w:w="10920" w:type="dxa"/>
            <w:vAlign w:val="bottom"/>
            <w:gridSpan w:val="5"/>
          </w:tcPr>
          <w:p>
            <w:pPr>
              <w:spacing w:after="0"/>
              <w:rPr>
                <w:sz w:val="20"/>
                <w:szCs w:val="20"/>
                <w:color w:val="auto"/>
              </w:rPr>
            </w:pPr>
            <w:r>
              <w:rPr>
                <w:rFonts w:ascii="Arial" w:cs="Arial" w:eastAsia="Arial" w:hAnsi="Arial"/>
                <w:sz w:val="20"/>
                <w:szCs w:val="20"/>
                <w:b w:val="1"/>
                <w:bCs w:val="1"/>
                <w:color w:val="auto"/>
              </w:rPr>
              <w:t>REPRESENTATIONS, WARRANTIES AND COVENANTS</w:t>
            </w:r>
          </w:p>
        </w:tc>
        <w:tc>
          <w:tcPr>
            <w:tcW w:w="280" w:type="dxa"/>
            <w:vAlign w:val="bottom"/>
            <w:gridSpan w:val="2"/>
          </w:tcPr>
          <w:p>
            <w:pPr>
              <w:jc w:val="right"/>
              <w:spacing w:after="0"/>
              <w:rPr>
                <w:sz w:val="20"/>
                <w:szCs w:val="20"/>
                <w:color w:val="auto"/>
              </w:rPr>
            </w:pPr>
            <w:r>
              <w:rPr>
                <w:rFonts w:ascii="Arial" w:cs="Arial" w:eastAsia="Arial" w:hAnsi="Arial"/>
                <w:sz w:val="20"/>
                <w:szCs w:val="20"/>
                <w:b w:val="1"/>
                <w:bCs w:val="1"/>
                <w:color w:val="auto"/>
              </w:rPr>
              <w:t>8</w:t>
            </w:r>
          </w:p>
        </w:tc>
      </w:tr>
      <w:tr>
        <w:trPr>
          <w:trHeight w:val="257"/>
        </w:trPr>
        <w:tc>
          <w:tcPr>
            <w:tcW w:w="20" w:type="dxa"/>
            <w:vAlign w:val="bottom"/>
          </w:tcPr>
          <w:p>
            <w:pPr>
              <w:spacing w:after="0"/>
              <w:rPr>
                <w:sz w:val="22"/>
                <w:szCs w:val="22"/>
                <w:color w:val="auto"/>
              </w:rPr>
            </w:pPr>
          </w:p>
        </w:tc>
        <w:tc>
          <w:tcPr>
            <w:tcW w:w="10920" w:type="dxa"/>
            <w:vAlign w:val="bottom"/>
            <w:gridSpan w:val="5"/>
          </w:tcPr>
          <w:p>
            <w:pPr>
              <w:spacing w:after="0"/>
              <w:rPr>
                <w:sz w:val="20"/>
                <w:szCs w:val="20"/>
                <w:color w:val="auto"/>
              </w:rPr>
            </w:pPr>
            <w:r>
              <w:rPr>
                <w:rFonts w:ascii="Arial" w:cs="Arial" w:eastAsia="Arial" w:hAnsi="Arial"/>
                <w:sz w:val="20"/>
                <w:szCs w:val="20"/>
                <w:b w:val="1"/>
                <w:bCs w:val="1"/>
                <w:color w:val="auto"/>
              </w:rPr>
              <w:t>COMPLIANCE WITH RULE 144</w:t>
            </w:r>
          </w:p>
        </w:tc>
        <w:tc>
          <w:tcPr>
            <w:tcW w:w="280" w:type="dxa"/>
            <w:vAlign w:val="bottom"/>
            <w:gridSpan w:val="2"/>
          </w:tcPr>
          <w:p>
            <w:pPr>
              <w:jc w:val="right"/>
              <w:spacing w:after="0"/>
              <w:rPr>
                <w:sz w:val="20"/>
                <w:szCs w:val="20"/>
                <w:color w:val="auto"/>
              </w:rPr>
            </w:pPr>
            <w:r>
              <w:rPr>
                <w:rFonts w:ascii="Arial" w:cs="Arial" w:eastAsia="Arial" w:hAnsi="Arial"/>
                <w:sz w:val="20"/>
                <w:szCs w:val="20"/>
                <w:b w:val="1"/>
                <w:bCs w:val="1"/>
                <w:color w:val="auto"/>
              </w:rPr>
              <w:t>10</w:t>
            </w:r>
          </w:p>
        </w:tc>
      </w:tr>
      <w:tr>
        <w:trPr>
          <w:trHeight w:val="256"/>
        </w:trPr>
        <w:tc>
          <w:tcPr>
            <w:tcW w:w="20" w:type="dxa"/>
            <w:vAlign w:val="bottom"/>
          </w:tcPr>
          <w:p>
            <w:pPr>
              <w:spacing w:after="0"/>
              <w:rPr>
                <w:sz w:val="22"/>
                <w:szCs w:val="22"/>
                <w:color w:val="auto"/>
              </w:rPr>
            </w:pPr>
          </w:p>
        </w:tc>
        <w:tc>
          <w:tcPr>
            <w:tcW w:w="10920" w:type="dxa"/>
            <w:vAlign w:val="bottom"/>
            <w:gridSpan w:val="5"/>
          </w:tcPr>
          <w:p>
            <w:pPr>
              <w:spacing w:after="0"/>
              <w:rPr>
                <w:sz w:val="20"/>
                <w:szCs w:val="20"/>
                <w:color w:val="auto"/>
              </w:rPr>
            </w:pPr>
            <w:r>
              <w:rPr>
                <w:rFonts w:ascii="Arial" w:cs="Arial" w:eastAsia="Arial" w:hAnsi="Arial"/>
                <w:sz w:val="20"/>
                <w:szCs w:val="20"/>
                <w:b w:val="1"/>
                <w:bCs w:val="1"/>
                <w:color w:val="auto"/>
              </w:rPr>
              <w:t>PLAN TERMS AND CONDITIONS</w:t>
            </w:r>
          </w:p>
        </w:tc>
        <w:tc>
          <w:tcPr>
            <w:tcW w:w="280" w:type="dxa"/>
            <w:vAlign w:val="bottom"/>
            <w:gridSpan w:val="2"/>
          </w:tcPr>
          <w:p>
            <w:pPr>
              <w:jc w:val="right"/>
              <w:spacing w:after="0"/>
              <w:rPr>
                <w:sz w:val="20"/>
                <w:szCs w:val="20"/>
                <w:color w:val="auto"/>
              </w:rPr>
            </w:pPr>
            <w:r>
              <w:rPr>
                <w:rFonts w:ascii="Arial" w:cs="Arial" w:eastAsia="Arial" w:hAnsi="Arial"/>
                <w:sz w:val="20"/>
                <w:szCs w:val="20"/>
                <w:b w:val="1"/>
                <w:bCs w:val="1"/>
                <w:color w:val="auto"/>
              </w:rPr>
              <w:t>11</w:t>
            </w:r>
          </w:p>
        </w:tc>
      </w:tr>
      <w:tr>
        <w:trPr>
          <w:trHeight w:val="213"/>
        </w:trPr>
        <w:tc>
          <w:tcPr>
            <w:tcW w:w="20" w:type="dxa"/>
            <w:vAlign w:val="bottom"/>
          </w:tcPr>
          <w:p>
            <w:pPr>
              <w:spacing w:after="0"/>
              <w:rPr>
                <w:sz w:val="18"/>
                <w:szCs w:val="18"/>
                <w:color w:val="auto"/>
              </w:rPr>
            </w:pPr>
          </w:p>
        </w:tc>
        <w:tc>
          <w:tcPr>
            <w:tcW w:w="10920" w:type="dxa"/>
            <w:vAlign w:val="bottom"/>
            <w:gridSpan w:val="5"/>
          </w:tcPr>
          <w:p>
            <w:pPr>
              <w:spacing w:after="0" w:line="212" w:lineRule="exact"/>
              <w:rPr>
                <w:sz w:val="20"/>
                <w:szCs w:val="20"/>
                <w:color w:val="auto"/>
              </w:rPr>
            </w:pPr>
            <w:r>
              <w:rPr>
                <w:rFonts w:ascii="Arial" w:cs="Arial" w:eastAsia="Arial" w:hAnsi="Arial"/>
                <w:sz w:val="20"/>
                <w:szCs w:val="20"/>
                <w:b w:val="1"/>
                <w:bCs w:val="1"/>
                <w:color w:val="auto"/>
              </w:rPr>
              <w:t>ANNEXES</w:t>
            </w:r>
          </w:p>
        </w:tc>
        <w:tc>
          <w:tcPr>
            <w:tcW w:w="280" w:type="dxa"/>
            <w:vAlign w:val="bottom"/>
            <w:gridSpan w:val="2"/>
          </w:tcPr>
          <w:p>
            <w:pPr>
              <w:jc w:val="right"/>
              <w:spacing w:after="0" w:line="212" w:lineRule="exact"/>
              <w:rPr>
                <w:sz w:val="20"/>
                <w:szCs w:val="20"/>
                <w:color w:val="auto"/>
              </w:rPr>
            </w:pPr>
            <w:r>
              <w:rPr>
                <w:rFonts w:ascii="Arial" w:cs="Arial" w:eastAsia="Arial" w:hAnsi="Arial"/>
                <w:sz w:val="20"/>
                <w:szCs w:val="20"/>
                <w:b w:val="1"/>
                <w:bCs w:val="1"/>
                <w:color w:val="auto"/>
              </w:rPr>
              <w:t>14</w:t>
            </w: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960" w:type="dxa"/>
            <w:vAlign w:val="bottom"/>
            <w:gridSpan w:val="4"/>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r>
      <w:tr>
        <w:trPr>
          <w:trHeight w:val="297"/>
        </w:trPr>
        <w:tc>
          <w:tcPr>
            <w:tcW w:w="20" w:type="dxa"/>
            <w:vAlign w:val="bottom"/>
          </w:tcPr>
          <w:p>
            <w:pPr>
              <w:spacing w:after="0"/>
              <w:rPr>
                <w:sz w:val="24"/>
                <w:szCs w:val="24"/>
                <w:color w:val="auto"/>
              </w:rPr>
            </w:pPr>
          </w:p>
        </w:tc>
        <w:tc>
          <w:tcPr>
            <w:tcW w:w="10920" w:type="dxa"/>
            <w:vAlign w:val="bottom"/>
            <w:gridSpan w:val="5"/>
          </w:tcPr>
          <w:p>
            <w:pPr>
              <w:spacing w:after="0"/>
              <w:rPr>
                <w:sz w:val="20"/>
                <w:szCs w:val="20"/>
                <w:color w:val="auto"/>
              </w:rPr>
            </w:pPr>
            <w:r>
              <w:rPr>
                <w:rFonts w:ascii="Arial" w:cs="Arial" w:eastAsia="Arial" w:hAnsi="Arial"/>
                <w:sz w:val="20"/>
                <w:szCs w:val="20"/>
                <w:b w:val="1"/>
                <w:bCs w:val="1"/>
                <w:color w:val="auto"/>
              </w:rPr>
              <w:t>ANNEX A: TERMINATION NOTICE</w:t>
            </w:r>
          </w:p>
        </w:tc>
        <w:tc>
          <w:tcPr>
            <w:tcW w:w="280" w:type="dxa"/>
            <w:vAlign w:val="bottom"/>
            <w:gridSpan w:val="2"/>
          </w:tcPr>
          <w:p>
            <w:pPr>
              <w:jc w:val="right"/>
              <w:spacing w:after="0"/>
              <w:rPr>
                <w:sz w:val="20"/>
                <w:szCs w:val="20"/>
                <w:color w:val="auto"/>
              </w:rPr>
            </w:pPr>
            <w:r>
              <w:rPr>
                <w:rFonts w:ascii="Arial" w:cs="Arial" w:eastAsia="Arial" w:hAnsi="Arial"/>
                <w:sz w:val="20"/>
                <w:szCs w:val="20"/>
                <w:b w:val="1"/>
                <w:bCs w:val="1"/>
                <w:color w:val="auto"/>
              </w:rPr>
              <w:t>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u w:val="single" w:color="auto"/>
          <w:color w:val="0563C1"/>
        </w:rPr>
        <w:t>Table of Contents</w:t>
      </w:r>
      <w:r>
        <w:rPr>
          <w:rFonts w:ascii="Arial" w:cs="Arial" w:eastAsia="Arial" w:hAnsi="Arial"/>
          <w:sz w:val="14"/>
          <w:szCs w:val="14"/>
          <w:color w:val="0563C1"/>
        </w:rPr>
        <w:t xml:space="preserve"> </w:t>
      </w:r>
      <w:r>
        <w:rPr>
          <w:rFonts w:ascii="Arial" w:cs="Arial" w:eastAsia="Arial" w:hAnsi="Arial"/>
          <w:sz w:val="14"/>
          <w:szCs w:val="14"/>
          <w:color w:val="000000"/>
        </w:rPr>
        <w:t>1</w:t>
      </w:r>
    </w:p>
    <w:p>
      <w:pPr>
        <w:sectPr>
          <w:pgSz w:w="11900" w:h="16838" w:orient="portrait"/>
          <w:cols w:equalWidth="0" w:num="1">
            <w:col w:w="11240"/>
          </w:cols>
          <w:pgMar w:left="320" w:top="97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38"/>
          <w:szCs w:val="38"/>
          <w:color w:val="auto"/>
        </w:rPr>
        <w:t>10b5-1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6017895" cy="445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1789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SECTION I</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STOCK TRADING PLAN OVERVIEW</w:t>
      </w:r>
    </w:p>
    <w:p>
      <w:pPr>
        <w:spacing w:after="0" w:line="376"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This Stock Trading Plan (the “</w:t>
      </w:r>
      <w:r>
        <w:rPr>
          <w:rFonts w:ascii="Arial" w:cs="Arial" w:eastAsia="Arial" w:hAnsi="Arial"/>
          <w:sz w:val="16"/>
          <w:szCs w:val="16"/>
          <w:b w:val="1"/>
          <w:bCs w:val="1"/>
          <w:color w:val="auto"/>
        </w:rPr>
        <w:t>Plan</w:t>
      </w:r>
      <w:r>
        <w:rPr>
          <w:rFonts w:ascii="Arial" w:cs="Arial" w:eastAsia="Arial" w:hAnsi="Arial"/>
          <w:sz w:val="16"/>
          <w:szCs w:val="16"/>
          <w:color w:val="auto"/>
        </w:rPr>
        <w:t>”) is entered into between the parties below for the purpose of establishing a trading plan that complies with the requirements of Rule 10b5-1(c)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w:t>
      </w:r>
      <w:r>
        <w:rPr>
          <w:rFonts w:ascii="Arial" w:cs="Arial" w:eastAsia="Arial" w:hAnsi="Arial"/>
          <w:sz w:val="16"/>
          <w:szCs w:val="16"/>
          <w:b w:val="1"/>
          <w:bCs w:val="1"/>
          <w:color w:val="auto"/>
        </w:rPr>
        <w:t>Broker</w:t>
      </w:r>
      <w:r>
        <w:rPr>
          <w:rFonts w:ascii="Arial" w:cs="Arial" w:eastAsia="Arial" w:hAnsi="Arial"/>
          <w:sz w:val="16"/>
          <w:szCs w:val="16"/>
          <w:color w:val="auto"/>
        </w:rPr>
        <w:t>” shall mean Goldman Sachs &amp; Co. LLC.</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Referred to hereinafter, individually and collectively, as the “</w:t>
      </w:r>
      <w:r>
        <w:rPr>
          <w:rFonts w:ascii="Arial" w:cs="Arial" w:eastAsia="Arial" w:hAnsi="Arial"/>
          <w:sz w:val="16"/>
          <w:szCs w:val="16"/>
          <w:b w:val="1"/>
          <w:bCs w:val="1"/>
          <w:color w:val="auto"/>
        </w:rPr>
        <w:t>Client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97790</wp:posOffset>
            </wp:positionV>
            <wp:extent cx="291465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14650" cy="171450"/>
                    </a:xfrm>
                    <a:prstGeom prst="rect">
                      <a:avLst/>
                    </a:prstGeom>
                    <a:noFill/>
                  </pic:spPr>
                </pic:pic>
              </a:graphicData>
            </a:graphic>
          </wp:anchor>
        </w:drawing>
      </w:r>
    </w:p>
    <w:p>
      <w:pPr>
        <w:spacing w:after="0" w:line="161"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Lawrence James Madden</w:t>
      </w:r>
    </w:p>
    <w:p>
      <w:pPr>
        <w:spacing w:after="0" w:line="200" w:lineRule="exact"/>
        <w:rPr>
          <w:sz w:val="20"/>
          <w:szCs w:val="20"/>
          <w:color w:val="auto"/>
        </w:rPr>
      </w:pPr>
    </w:p>
    <w:p>
      <w:pPr>
        <w:spacing w:after="0" w:line="386" w:lineRule="exact"/>
        <w:rPr>
          <w:sz w:val="20"/>
          <w:szCs w:val="20"/>
          <w:color w:val="auto"/>
        </w:rPr>
      </w:pPr>
    </w:p>
    <w:p>
      <w:pPr>
        <w:ind w:left="620"/>
        <w:spacing w:after="0"/>
        <w:tabs>
          <w:tab w:leader="none" w:pos="3520" w:val="left"/>
        </w:tabs>
        <w:rPr>
          <w:sz w:val="20"/>
          <w:szCs w:val="20"/>
          <w:color w:val="auto"/>
        </w:rPr>
      </w:pPr>
      <w:r>
        <w:rPr>
          <w:rFonts w:ascii="Arial" w:cs="Arial" w:eastAsia="Arial" w:hAnsi="Arial"/>
          <w:sz w:val="16"/>
          <w:szCs w:val="16"/>
          <w:color w:val="auto"/>
        </w:rPr>
        <w:t>Referred to hereinafter as the “</w:t>
      </w:r>
      <w:r>
        <w:rPr>
          <w:rFonts w:ascii="Arial" w:cs="Arial" w:eastAsia="Arial" w:hAnsi="Arial"/>
          <w:sz w:val="16"/>
          <w:szCs w:val="16"/>
          <w:b w:val="1"/>
          <w:bCs w:val="1"/>
          <w:color w:val="auto"/>
        </w:rPr>
        <w:t>Issuer</w:t>
      </w:r>
      <w:r>
        <w:rPr>
          <w:rFonts w:ascii="Arial" w:cs="Arial" w:eastAsia="Arial" w:hAnsi="Arial"/>
          <w:sz w:val="16"/>
          <w:szCs w:val="16"/>
          <w:color w:val="auto"/>
        </w:rPr>
        <w:t>”:</w:t>
        <w:tab/>
        <w:t>Viant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55245</wp:posOffset>
            </wp:positionV>
            <wp:extent cx="31375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120" w:lineRule="exact"/>
        <w:rPr>
          <w:sz w:val="20"/>
          <w:szCs w:val="20"/>
          <w:color w:val="auto"/>
        </w:rPr>
      </w:pPr>
    </w:p>
    <w:p>
      <w:pPr>
        <w:ind w:left="2100"/>
        <w:spacing w:after="0"/>
        <w:tabs>
          <w:tab w:leader="none" w:pos="3520" w:val="left"/>
        </w:tabs>
        <w:rPr>
          <w:sz w:val="20"/>
          <w:szCs w:val="20"/>
          <w:color w:val="auto"/>
        </w:rPr>
      </w:pPr>
      <w:r>
        <w:rPr>
          <w:rFonts w:ascii="Arial" w:cs="Arial" w:eastAsia="Arial" w:hAnsi="Arial"/>
          <w:sz w:val="16"/>
          <w:szCs w:val="16"/>
          <w:color w:val="auto"/>
        </w:rPr>
        <w:t>Bloomberg Ticker:</w:t>
        <w:tab/>
        <w:t>DSP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38100</wp:posOffset>
            </wp:positionV>
            <wp:extent cx="49288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28870" cy="8890"/>
                    </a:xfrm>
                    <a:prstGeom prst="rect">
                      <a:avLst/>
                    </a:prstGeom>
                    <a:noFill/>
                  </pic:spPr>
                </pic:pic>
              </a:graphicData>
            </a:graphic>
          </wp:anchor>
        </w:drawing>
      </w:r>
    </w:p>
    <w:p>
      <w:pPr>
        <w:spacing w:after="0" w:line="273" w:lineRule="exact"/>
        <w:rPr>
          <w:sz w:val="20"/>
          <w:szCs w:val="20"/>
          <w:color w:val="auto"/>
        </w:rPr>
      </w:pPr>
    </w:p>
    <w:p>
      <w:pPr>
        <w:ind w:left="1620"/>
        <w:spacing w:after="0" w:line="184" w:lineRule="exact"/>
        <w:tabs>
          <w:tab w:leader="none" w:pos="3520" w:val="left"/>
        </w:tabs>
        <w:rPr>
          <w:sz w:val="20"/>
          <w:szCs w:val="20"/>
          <w:color w:val="auto"/>
        </w:rPr>
      </w:pPr>
      <w:r>
        <w:rPr>
          <w:rFonts w:ascii="Arial" w:cs="Arial" w:eastAsia="Arial" w:hAnsi="Arial"/>
          <w:sz w:val="16"/>
          <w:szCs w:val="16"/>
          <w:color w:val="auto"/>
        </w:rPr>
        <w:t>Additional Issuer Details: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Issuer is a shell company or former shell company (as defined under Rule 144(i)(1))</w:t>
      </w:r>
    </w:p>
    <w:p>
      <w:pPr>
        <w:spacing w:after="0" w:line="95" w:lineRule="exact"/>
        <w:rPr>
          <w:sz w:val="20"/>
          <w:szCs w:val="20"/>
          <w:color w:val="auto"/>
        </w:rPr>
      </w:pPr>
    </w:p>
    <w:p>
      <w:pPr>
        <w:ind w:left="3860" w:hanging="315"/>
        <w:spacing w:after="0"/>
        <w:tabs>
          <w:tab w:leader="none" w:pos="38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Foreign Private Issuer</w:t>
      </w:r>
    </w:p>
    <w:p>
      <w:pPr>
        <w:spacing w:after="0" w:line="53" w:lineRule="exact"/>
        <w:rPr>
          <w:sz w:val="20"/>
          <w:szCs w:val="20"/>
          <w:color w:val="auto"/>
        </w:rPr>
      </w:pPr>
    </w:p>
    <w:p>
      <w:pPr>
        <w:ind w:left="780"/>
        <w:spacing w:after="0" w:line="184" w:lineRule="exact"/>
        <w:tabs>
          <w:tab w:leader="none" w:pos="3520" w:val="left"/>
        </w:tabs>
        <w:rPr>
          <w:sz w:val="20"/>
          <w:szCs w:val="20"/>
          <w:color w:val="auto"/>
        </w:rPr>
      </w:pPr>
      <w:r>
        <w:rPr>
          <w:rFonts w:ascii="Arial" w:cs="Arial" w:eastAsia="Arial" w:hAnsi="Arial"/>
          <w:sz w:val="16"/>
          <w:szCs w:val="16"/>
          <w:color w:val="auto"/>
        </w:rPr>
        <w:t>Goldman Sachs Entity (“</w:t>
      </w:r>
      <w:r>
        <w:rPr>
          <w:rFonts w:ascii="Arial" w:cs="Arial" w:eastAsia="Arial" w:hAnsi="Arial"/>
          <w:sz w:val="16"/>
          <w:szCs w:val="16"/>
          <w:b w:val="1"/>
          <w:bCs w:val="1"/>
          <w:color w:val="auto"/>
        </w:rPr>
        <w:t>GS Entity</w:t>
      </w:r>
      <w:r>
        <w:rPr>
          <w:rFonts w:ascii="Arial" w:cs="Arial" w:eastAsia="Arial" w:hAnsi="Arial"/>
          <w:sz w:val="16"/>
          <w:szCs w:val="16"/>
          <w:color w:val="auto"/>
        </w:rPr>
        <w: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Goldman Sachs &amp; Co. LLC (“</w:t>
      </w:r>
      <w:r>
        <w:rPr>
          <w:rFonts w:ascii="Arial" w:cs="Arial" w:eastAsia="Arial" w:hAnsi="Arial"/>
          <w:sz w:val="16"/>
          <w:szCs w:val="16"/>
          <w:b w:val="1"/>
          <w:bCs w:val="1"/>
          <w:color w:val="auto"/>
        </w:rPr>
        <w:t>GS &amp; Co.</w:t>
      </w:r>
      <w:r>
        <w:rPr>
          <w:rFonts w:ascii="Arial" w:cs="Arial" w:eastAsia="Arial" w:hAnsi="Arial"/>
          <w:sz w:val="16"/>
          <w:szCs w:val="16"/>
          <w:color w:val="auto"/>
        </w:rPr>
        <w:t>”)</w:t>
      </w:r>
    </w:p>
    <w:p>
      <w:pPr>
        <w:spacing w:after="0" w:line="65" w:lineRule="exact"/>
        <w:rPr>
          <w:sz w:val="20"/>
          <w:szCs w:val="20"/>
          <w:color w:val="auto"/>
        </w:rPr>
      </w:pPr>
    </w:p>
    <w:p>
      <w:pPr>
        <w:ind w:left="3860" w:hanging="315"/>
        <w:spacing w:after="0"/>
        <w:tabs>
          <w:tab w:leader="none" w:pos="38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Goldman Sachs (Asia) LLC (“</w:t>
      </w:r>
      <w:r>
        <w:rPr>
          <w:rFonts w:ascii="Arial" w:cs="Arial" w:eastAsia="Arial" w:hAnsi="Arial"/>
          <w:sz w:val="16"/>
          <w:szCs w:val="16"/>
          <w:b w:val="1"/>
          <w:bCs w:val="1"/>
          <w:color w:val="auto"/>
        </w:rPr>
        <w:t>GSALLC</w:t>
      </w:r>
      <w:r>
        <w:rPr>
          <w:rFonts w:ascii="Arial" w:cs="Arial" w:eastAsia="Arial" w:hAnsi="Arial"/>
          <w:sz w:val="16"/>
          <w:szCs w:val="16"/>
          <w:color w:val="auto"/>
        </w:rPr>
        <w:t>”)</w:t>
      </w:r>
    </w:p>
    <w:p>
      <w:pPr>
        <w:spacing w:after="0" w:line="99" w:lineRule="exact"/>
        <w:rPr>
          <w:rFonts w:ascii="MS PGothic" w:cs="MS PGothic" w:eastAsia="MS PGothic" w:hAnsi="MS PGothic"/>
          <w:sz w:val="16"/>
          <w:szCs w:val="16"/>
          <w:color w:val="auto"/>
        </w:rPr>
      </w:pPr>
    </w:p>
    <w:p>
      <w:pPr>
        <w:ind w:left="3860" w:hanging="315"/>
        <w:spacing w:after="0"/>
        <w:tabs>
          <w:tab w:leader="none" w:pos="38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Goldman Sachs (Singapore) Pte (“</w:t>
      </w:r>
      <w:r>
        <w:rPr>
          <w:rFonts w:ascii="Arial" w:cs="Arial" w:eastAsia="Arial" w:hAnsi="Arial"/>
          <w:sz w:val="16"/>
          <w:szCs w:val="16"/>
          <w:b w:val="1"/>
          <w:bCs w:val="1"/>
          <w:color w:val="auto"/>
        </w:rPr>
        <w:t>GSSP</w:t>
      </w:r>
      <w:r>
        <w:rPr>
          <w:rFonts w:ascii="Arial" w:cs="Arial" w:eastAsia="Arial" w:hAnsi="Arial"/>
          <w:sz w:val="16"/>
          <w:szCs w:val="16"/>
          <w:color w:val="auto"/>
        </w:rPr>
        <w:t>”)</w:t>
      </w:r>
    </w:p>
    <w:p>
      <w:pPr>
        <w:spacing w:after="0" w:line="99" w:lineRule="exact"/>
        <w:rPr>
          <w:rFonts w:ascii="MS PGothic" w:cs="MS PGothic" w:eastAsia="MS PGothic" w:hAnsi="MS PGothic"/>
          <w:sz w:val="16"/>
          <w:szCs w:val="16"/>
          <w:color w:val="auto"/>
        </w:rPr>
      </w:pPr>
    </w:p>
    <w:p>
      <w:pPr>
        <w:ind w:left="3860" w:hanging="315"/>
        <w:spacing w:after="0"/>
        <w:tabs>
          <w:tab w:leader="none" w:pos="38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Goldman Sachs International (“</w:t>
      </w:r>
      <w:r>
        <w:rPr>
          <w:rFonts w:ascii="Arial" w:cs="Arial" w:eastAsia="Arial" w:hAnsi="Arial"/>
          <w:sz w:val="16"/>
          <w:szCs w:val="16"/>
          <w:b w:val="1"/>
          <w:bCs w:val="1"/>
          <w:color w:val="auto"/>
        </w:rPr>
        <w:t>GSI</w:t>
      </w:r>
      <w:r>
        <w:rPr>
          <w:rFonts w:ascii="Arial" w:cs="Arial" w:eastAsia="Arial" w:hAnsi="Arial"/>
          <w:sz w:val="16"/>
          <w:szCs w:val="16"/>
          <w:color w:val="auto"/>
        </w:rPr>
        <w:t>”)</w:t>
      </w:r>
    </w:p>
    <w:p>
      <w:pPr>
        <w:spacing w:after="0" w:line="99" w:lineRule="exact"/>
        <w:rPr>
          <w:rFonts w:ascii="MS PGothic" w:cs="MS PGothic" w:eastAsia="MS PGothic" w:hAnsi="MS PGothic"/>
          <w:sz w:val="16"/>
          <w:szCs w:val="16"/>
          <w:color w:val="auto"/>
        </w:rPr>
      </w:pPr>
    </w:p>
    <w:p>
      <w:pPr>
        <w:ind w:left="3860" w:hanging="315"/>
        <w:spacing w:after="0"/>
        <w:tabs>
          <w:tab w:leader="none" w:pos="38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Goldman Sachs Bank AG (“</w:t>
      </w:r>
      <w:r>
        <w:rPr>
          <w:rFonts w:ascii="Arial" w:cs="Arial" w:eastAsia="Arial" w:hAnsi="Arial"/>
          <w:sz w:val="16"/>
          <w:szCs w:val="16"/>
          <w:b w:val="1"/>
          <w:bCs w:val="1"/>
          <w:color w:val="auto"/>
        </w:rPr>
        <w:t>GSBZ</w:t>
      </w:r>
      <w:r>
        <w:rPr>
          <w:rFonts w:ascii="Arial" w:cs="Arial" w:eastAsia="Arial" w:hAnsi="Arial"/>
          <w:sz w:val="16"/>
          <w:szCs w:val="16"/>
          <w:color w:val="auto"/>
        </w:rPr>
        <w:t>”)</w:t>
      </w:r>
    </w:p>
    <w:p>
      <w:pPr>
        <w:spacing w:after="0" w:line="99" w:lineRule="exact"/>
        <w:rPr>
          <w:rFonts w:ascii="MS PGothic" w:cs="MS PGothic" w:eastAsia="MS PGothic" w:hAnsi="MS PGothic"/>
          <w:sz w:val="16"/>
          <w:szCs w:val="16"/>
          <w:color w:val="auto"/>
        </w:rPr>
      </w:pPr>
    </w:p>
    <w:p>
      <w:pPr>
        <w:ind w:left="3860" w:hanging="315"/>
        <w:spacing w:after="0"/>
        <w:tabs>
          <w:tab w:leader="none" w:pos="38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Goldman Sachs Bank Europe SE (“</w:t>
      </w:r>
      <w:r>
        <w:rPr>
          <w:rFonts w:ascii="Arial" w:cs="Arial" w:eastAsia="Arial" w:hAnsi="Arial"/>
          <w:sz w:val="16"/>
          <w:szCs w:val="16"/>
          <w:b w:val="1"/>
          <w:bCs w:val="1"/>
          <w:color w:val="auto"/>
        </w:rPr>
        <w:t>GSBE</w:t>
      </w:r>
      <w:r>
        <w:rPr>
          <w:rFonts w:ascii="Arial" w:cs="Arial" w:eastAsia="Arial" w:hAnsi="Arial"/>
          <w:sz w:val="16"/>
          <w:szCs w:val="16"/>
          <w:color w:val="auto"/>
        </w:rPr>
        <w:t>”)</w:t>
      </w:r>
    </w:p>
    <w:p>
      <w:pPr>
        <w:spacing w:after="0" w:line="200" w:lineRule="exact"/>
        <w:rPr>
          <w:sz w:val="20"/>
          <w:szCs w:val="20"/>
          <w:color w:val="auto"/>
        </w:rPr>
      </w:pPr>
    </w:p>
    <w:p>
      <w:pPr>
        <w:spacing w:after="0" w:line="318"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GS Entity will be responsible for effecting one or more transactions in Client’s securities (the “</w:t>
      </w:r>
      <w:r>
        <w:rPr>
          <w:rFonts w:ascii="Arial" w:cs="Arial" w:eastAsia="Arial" w:hAnsi="Arial"/>
          <w:sz w:val="16"/>
          <w:szCs w:val="16"/>
          <w:b w:val="1"/>
          <w:bCs w:val="1"/>
          <w:color w:val="auto"/>
        </w:rPr>
        <w:t>Shares</w:t>
      </w:r>
      <w:r>
        <w:rPr>
          <w:rFonts w:ascii="Arial" w:cs="Arial" w:eastAsia="Arial" w:hAnsi="Arial"/>
          <w:sz w:val="16"/>
          <w:szCs w:val="16"/>
          <w:color w:val="auto"/>
        </w:rPr>
        <w:t>”) pursuant to the terms and conditions set forth below. The Client hereby authorizes GS Entity to execute and act through and/or arrange for one or more of its affiliates (as defined in Rule 405 under the Securities Act of 1933, as amended), including without limitation, the Broker in effecting the terms of the Plan.</w:t>
      </w:r>
    </w:p>
    <w:p>
      <w:pPr>
        <w:sectPr>
          <w:pgSz w:w="11900" w:h="16838" w:orient="portrait"/>
          <w:cols w:equalWidth="0" w:num="1">
            <w:col w:w="11240"/>
          </w:cols>
          <w:pgMar w:left="320" w:top="974" w:right="339" w:bottom="1440" w:gutter="0" w:footer="0" w:header="0"/>
        </w:sectPr>
      </w:pPr>
    </w:p>
    <w:bookmarkStart w:id="5" w:name="page6"/>
    <w:bookmarkEnd w:id="5"/>
    <w:p>
      <w:pPr>
        <w:spacing w:after="0" w:line="105"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Transaction Side:</w:t>
      </w:r>
    </w:p>
    <w:p>
      <w:pPr>
        <w:spacing w:after="0" w:line="343" w:lineRule="exact"/>
        <w:rPr>
          <w:sz w:val="20"/>
          <w:szCs w:val="20"/>
          <w:color w:val="auto"/>
        </w:rPr>
      </w:pPr>
    </w:p>
    <w:p>
      <w:pPr>
        <w:ind w:left="80" w:right="140"/>
        <w:spacing w:after="0" w:line="286" w:lineRule="auto"/>
        <w:rPr>
          <w:sz w:val="20"/>
          <w:szCs w:val="20"/>
          <w:color w:val="auto"/>
        </w:rPr>
      </w:pPr>
      <w:r>
        <w:rPr>
          <w:rFonts w:ascii="Arial" w:cs="Arial" w:eastAsia="Arial" w:hAnsi="Arial"/>
          <w:sz w:val="16"/>
          <w:szCs w:val="16"/>
          <w:color w:val="auto"/>
        </w:rPr>
        <w:t>Section 16 Status (more than one box may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Rule 144 Affiliate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of Issuer:</w:t>
      </w:r>
    </w:p>
    <w:p>
      <w:pPr>
        <w:spacing w:after="0" w:line="20" w:lineRule="exact"/>
        <w:rPr>
          <w:sz w:val="20"/>
          <w:szCs w:val="20"/>
          <w:color w:val="auto"/>
        </w:rPr>
      </w:pPr>
      <w:r>
        <w:rPr>
          <w:sz w:val="20"/>
          <w:szCs w:val="20"/>
          <w:color w:val="auto"/>
        </w:rPr>
        <w:br w:type="column"/>
      </w:r>
    </w:p>
    <w:p>
      <w:pPr>
        <w:ind w:left="308" w:hanging="308"/>
        <w:spacing w:after="0"/>
        <w:tabs>
          <w:tab w:leader="none" w:pos="308" w:val="left"/>
        </w:tabs>
        <w:numPr>
          <w:ilvl w:val="0"/>
          <w:numId w:val="5"/>
        </w:numPr>
        <w:rPr>
          <w:rFonts w:ascii="MS PGothic" w:cs="MS PGothic" w:eastAsia="MS PGothic" w:hAnsi="MS PGothic"/>
          <w:sz w:val="32"/>
          <w:szCs w:val="32"/>
          <w:color w:val="auto"/>
          <w:vertAlign w:val="superscript"/>
        </w:rPr>
      </w:pPr>
      <w:r>
        <w:rPr>
          <w:rFonts w:ascii="Arial" w:cs="Arial" w:eastAsia="Arial" w:hAnsi="Arial"/>
          <w:sz w:val="16"/>
          <w:szCs w:val="16"/>
          <w:color w:val="auto"/>
        </w:rPr>
        <w:t>Sale</w:t>
      </w:r>
    </w:p>
    <w:p>
      <w:pPr>
        <w:spacing w:after="0" w:line="41" w:lineRule="exact"/>
        <w:rPr>
          <w:sz w:val="20"/>
          <w:szCs w:val="20"/>
          <w:color w:val="auto"/>
        </w:rPr>
      </w:pPr>
    </w:p>
    <w:p>
      <w:pPr>
        <w:ind w:left="308" w:hanging="308"/>
        <w:spacing w:after="0"/>
        <w:tabs>
          <w:tab w:leader="none" w:pos="308" w:val="left"/>
        </w:tabs>
        <w:numPr>
          <w:ilvl w:val="0"/>
          <w:numId w:val="6"/>
        </w:numPr>
        <w:rPr>
          <w:rFonts w:ascii="MS PGothic" w:cs="MS PGothic" w:eastAsia="MS PGothic" w:hAnsi="MS PGothic"/>
          <w:sz w:val="16"/>
          <w:szCs w:val="16"/>
          <w:color w:val="auto"/>
        </w:rPr>
      </w:pPr>
      <w:r>
        <w:rPr>
          <w:rFonts w:ascii="Arial" w:cs="Arial" w:eastAsia="Arial" w:hAnsi="Arial"/>
          <w:sz w:val="16"/>
          <w:szCs w:val="16"/>
          <w:color w:val="auto"/>
        </w:rPr>
        <w:t>Purchase</w:t>
      </w:r>
    </w:p>
    <w:p>
      <w:pPr>
        <w:spacing w:after="0" w:line="87" w:lineRule="exact"/>
        <w:rPr>
          <w:sz w:val="20"/>
          <w:szCs w:val="20"/>
          <w:color w:val="auto"/>
        </w:rPr>
      </w:pPr>
    </w:p>
    <w:p>
      <w:pPr>
        <w:ind w:left="308" w:right="3399" w:hanging="308"/>
        <w:spacing w:after="0" w:line="267" w:lineRule="auto"/>
        <w:tabs>
          <w:tab w:leader="none" w:pos="308" w:val="left"/>
        </w:tabs>
        <w:numPr>
          <w:ilvl w:val="0"/>
          <w:numId w:val="7"/>
        </w:numPr>
        <w:rPr>
          <w:rFonts w:ascii="MS PGothic" w:cs="MS PGothic" w:eastAsia="MS PGothic" w:hAnsi="MS PGothic"/>
          <w:sz w:val="16"/>
          <w:szCs w:val="16"/>
          <w:color w:val="auto"/>
        </w:rPr>
      </w:pPr>
      <w:r>
        <w:rPr>
          <w:rFonts w:ascii="Arial" w:cs="Arial" w:eastAsia="Arial" w:hAnsi="Arial"/>
          <w:sz w:val="16"/>
          <w:szCs w:val="16"/>
          <w:color w:val="auto"/>
        </w:rPr>
        <w:t>Director or officer (as defined in Rule 16a-1(f) under the Exchange Act)</w:t>
      </w:r>
    </w:p>
    <w:p>
      <w:pPr>
        <w:spacing w:after="0" w:line="36" w:lineRule="exact"/>
        <w:rPr>
          <w:sz w:val="20"/>
          <w:szCs w:val="20"/>
          <w:color w:val="auto"/>
        </w:rPr>
      </w:pPr>
    </w:p>
    <w:p>
      <w:pPr>
        <w:ind w:left="308" w:right="3579" w:hanging="308"/>
        <w:spacing w:after="0" w:line="263" w:lineRule="auto"/>
        <w:tabs>
          <w:tab w:leader="none" w:pos="308" w:val="left"/>
        </w:tabs>
        <w:numPr>
          <w:ilvl w:val="0"/>
          <w:numId w:val="8"/>
        </w:numPr>
        <w:rPr>
          <w:rFonts w:ascii="MS PGothic" w:cs="MS PGothic" w:eastAsia="MS PGothic" w:hAnsi="MS PGothic"/>
          <w:sz w:val="16"/>
          <w:szCs w:val="16"/>
          <w:color w:val="auto"/>
        </w:rPr>
      </w:pPr>
      <w:r>
        <w:rPr>
          <w:rFonts w:ascii="Arial" w:cs="Arial" w:eastAsia="Arial" w:hAnsi="Arial"/>
          <w:sz w:val="16"/>
          <w:szCs w:val="16"/>
          <w:color w:val="auto"/>
        </w:rPr>
        <w:t>Shareholder who owns 10% or more of the class of Issuer’s shares represented by the Bloomberg Ticker above</w:t>
      </w:r>
    </w:p>
    <w:p>
      <w:pPr>
        <w:spacing w:after="0" w:line="29" w:lineRule="exact"/>
        <w:rPr>
          <w:rFonts w:ascii="MS PGothic" w:cs="MS PGothic" w:eastAsia="MS PGothic" w:hAnsi="MS PGothic"/>
          <w:sz w:val="16"/>
          <w:szCs w:val="16"/>
          <w:color w:val="auto"/>
        </w:rPr>
      </w:pPr>
    </w:p>
    <w:p>
      <w:pPr>
        <w:ind w:left="308" w:hanging="308"/>
        <w:spacing w:after="0"/>
        <w:tabs>
          <w:tab w:leader="none" w:pos="308" w:val="left"/>
        </w:tabs>
        <w:numPr>
          <w:ilvl w:val="0"/>
          <w:numId w:val="8"/>
        </w:numPr>
        <w:rPr>
          <w:rFonts w:ascii="MS PGothic" w:cs="MS PGothic" w:eastAsia="MS PGothic" w:hAnsi="MS PGothic"/>
          <w:sz w:val="16"/>
          <w:szCs w:val="16"/>
          <w:color w:val="auto"/>
        </w:rPr>
      </w:pPr>
      <w:r>
        <w:rPr>
          <w:rFonts w:ascii="Arial" w:cs="Arial" w:eastAsia="Arial" w:hAnsi="Arial"/>
          <w:sz w:val="16"/>
          <w:szCs w:val="16"/>
          <w:color w:val="auto"/>
        </w:rPr>
        <w:t>Not Applicable</w:t>
      </w:r>
    </w:p>
    <w:p>
      <w:pPr>
        <w:spacing w:after="0" w:line="383" w:lineRule="exact"/>
        <w:rPr>
          <w:sz w:val="20"/>
          <w:szCs w:val="20"/>
          <w:color w:val="auto"/>
        </w:rPr>
      </w:pPr>
    </w:p>
    <w:p>
      <w:pPr>
        <w:ind w:left="308" w:right="3539" w:hanging="308"/>
        <w:spacing w:after="0" w:line="286" w:lineRule="auto"/>
        <w:tabs>
          <w:tab w:leader="none" w:pos="308" w:val="left"/>
        </w:tabs>
        <w:numPr>
          <w:ilvl w:val="0"/>
          <w:numId w:val="9"/>
        </w:numPr>
        <w:rPr>
          <w:rFonts w:ascii="MS PGothic" w:cs="MS PGothic" w:eastAsia="MS PGothic" w:hAnsi="MS PGothic"/>
          <w:sz w:val="16"/>
          <w:szCs w:val="16"/>
          <w:color w:val="auto"/>
        </w:rPr>
      </w:pPr>
      <w:r>
        <w:rPr>
          <w:rFonts w:ascii="Arial" w:cs="Arial" w:eastAsia="Arial" w:hAnsi="Arial"/>
          <w:sz w:val="16"/>
          <w:szCs w:val="16"/>
          <w:color w:val="auto"/>
        </w:rPr>
        <w:t>Yes. If checked, name of individual(s) bearing Affiliate status:</w:t>
      </w:r>
    </w:p>
    <w:p>
      <w:pPr>
        <w:spacing w:after="0" w:line="50" w:lineRule="exact"/>
        <w:rPr>
          <w:sz w:val="20"/>
          <w:szCs w:val="20"/>
          <w:color w:val="auto"/>
        </w:rPr>
      </w:pPr>
    </w:p>
    <w:p>
      <w:pPr>
        <w:ind w:left="308"/>
        <w:spacing w:after="0"/>
        <w:rPr>
          <w:sz w:val="20"/>
          <w:szCs w:val="20"/>
          <w:color w:val="auto"/>
        </w:rPr>
      </w:pPr>
      <w:r>
        <w:rPr>
          <w:rFonts w:ascii="Arial" w:cs="Arial" w:eastAsia="Arial" w:hAnsi="Arial"/>
          <w:sz w:val="16"/>
          <w:szCs w:val="16"/>
          <w:i w:val="1"/>
          <w:iCs w:val="1"/>
          <w:color w:val="auto"/>
        </w:rPr>
        <w:t>Lawrence James Madden</w:t>
      </w:r>
    </w:p>
    <w:p>
      <w:pPr>
        <w:spacing w:after="0" w:line="71" w:lineRule="exact"/>
        <w:rPr>
          <w:sz w:val="20"/>
          <w:szCs w:val="20"/>
          <w:color w:val="auto"/>
        </w:rPr>
      </w:pPr>
    </w:p>
    <w:p>
      <w:pPr>
        <w:ind w:left="308" w:hanging="308"/>
        <w:spacing w:after="0"/>
        <w:tabs>
          <w:tab w:leader="none" w:pos="308" w:val="left"/>
        </w:tabs>
        <w:numPr>
          <w:ilvl w:val="0"/>
          <w:numId w:val="10"/>
        </w:numPr>
        <w:rPr>
          <w:rFonts w:ascii="MS PGothic" w:cs="MS PGothic" w:eastAsia="MS PGothic" w:hAnsi="MS PGothic"/>
          <w:sz w:val="16"/>
          <w:szCs w:val="16"/>
          <w:color w:val="auto"/>
        </w:rPr>
      </w:pPr>
      <w:r>
        <w:rPr>
          <w:rFonts w:ascii="Arial" w:cs="Arial" w:eastAsia="Arial" w:hAnsi="Arial"/>
          <w:sz w:val="16"/>
          <w:szCs w:val="16"/>
          <w:color w:val="auto"/>
        </w:rPr>
        <w:t>No: Shares held at least 6 months, but less than 1 year</w:t>
      </w:r>
    </w:p>
    <w:p>
      <w:pPr>
        <w:spacing w:after="0" w:line="86" w:lineRule="exact"/>
        <w:rPr>
          <w:rFonts w:ascii="MS PGothic" w:cs="MS PGothic" w:eastAsia="MS PGothic" w:hAnsi="MS PGothic"/>
          <w:sz w:val="16"/>
          <w:szCs w:val="16"/>
          <w:color w:val="auto"/>
        </w:rPr>
      </w:pPr>
    </w:p>
    <w:p>
      <w:pPr>
        <w:ind w:left="308" w:hanging="308"/>
        <w:spacing w:after="0"/>
        <w:tabs>
          <w:tab w:leader="none" w:pos="308" w:val="left"/>
        </w:tabs>
        <w:numPr>
          <w:ilvl w:val="0"/>
          <w:numId w:val="10"/>
        </w:numPr>
        <w:rPr>
          <w:rFonts w:ascii="MS PGothic" w:cs="MS PGothic" w:eastAsia="MS PGothic" w:hAnsi="MS PGothic"/>
          <w:sz w:val="16"/>
          <w:szCs w:val="16"/>
          <w:color w:val="auto"/>
        </w:rPr>
      </w:pPr>
      <w:r>
        <w:rPr>
          <w:rFonts w:ascii="Arial" w:cs="Arial" w:eastAsia="Arial" w:hAnsi="Arial"/>
          <w:sz w:val="16"/>
          <w:szCs w:val="16"/>
          <w:color w:val="auto"/>
        </w:rPr>
        <w:t>No: Shares held at least 1 year</w:t>
      </w:r>
    </w:p>
    <w:p>
      <w:pPr>
        <w:spacing w:after="0" w:line="99" w:lineRule="exact"/>
        <w:rPr>
          <w:rFonts w:ascii="MS PGothic" w:cs="MS PGothic" w:eastAsia="MS PGothic" w:hAnsi="MS PGothic"/>
          <w:sz w:val="16"/>
          <w:szCs w:val="16"/>
          <w:color w:val="auto"/>
        </w:rPr>
      </w:pPr>
    </w:p>
    <w:p>
      <w:pPr>
        <w:ind w:left="308" w:hanging="308"/>
        <w:spacing w:after="0"/>
        <w:tabs>
          <w:tab w:leader="none" w:pos="308" w:val="left"/>
        </w:tabs>
        <w:numPr>
          <w:ilvl w:val="0"/>
          <w:numId w:val="10"/>
        </w:numPr>
        <w:rPr>
          <w:rFonts w:ascii="MS PGothic" w:cs="MS PGothic" w:eastAsia="MS PGothic" w:hAnsi="MS PGothic"/>
          <w:sz w:val="16"/>
          <w:szCs w:val="16"/>
          <w:color w:val="auto"/>
        </w:rPr>
      </w:pP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-484505</wp:posOffset>
            </wp:positionV>
            <wp:extent cx="27857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20" w:space="132"/>
            <w:col w:w="7687"/>
          </w:cols>
          <w:pgMar w:left="320" w:top="115" w:right="1440" w:bottom="1440" w:gutter="0" w:footer="0" w:header="0"/>
        </w:sectPr>
      </w:pPr>
    </w:p>
    <w:p>
      <w:pPr>
        <w:spacing w:after="0" w:line="216"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1740" w:type="dxa"/>
            <w:vAlign w:val="bottom"/>
          </w:tcPr>
          <w:p>
            <w:pPr>
              <w:jc w:val="right"/>
              <w:ind w:right="139"/>
              <w:spacing w:after="0"/>
              <w:rPr>
                <w:sz w:val="20"/>
                <w:szCs w:val="20"/>
                <w:color w:val="auto"/>
              </w:rPr>
            </w:pPr>
            <w:r>
              <w:rPr>
                <w:rFonts w:ascii="Arial" w:cs="Arial" w:eastAsia="Arial" w:hAnsi="Arial"/>
                <w:sz w:val="16"/>
                <w:szCs w:val="16"/>
                <w:color w:val="auto"/>
                <w:w w:val="99"/>
              </w:rPr>
              <w:t>Total Number of Plan</w:t>
            </w:r>
          </w:p>
        </w:tc>
        <w:tc>
          <w:tcPr>
            <w:tcW w:w="4500" w:type="dxa"/>
            <w:vAlign w:val="bottom"/>
            <w:gridSpan w:val="5"/>
          </w:tcPr>
          <w:p>
            <w:pPr>
              <w:ind w:left="220"/>
              <w:spacing w:after="0"/>
              <w:rPr>
                <w:sz w:val="20"/>
                <w:szCs w:val="20"/>
                <w:color w:val="auto"/>
              </w:rPr>
            </w:pPr>
            <w:r>
              <w:rPr>
                <w:rFonts w:ascii="Arial" w:cs="Arial" w:eastAsia="Arial" w:hAnsi="Arial"/>
                <w:sz w:val="16"/>
                <w:szCs w:val="16"/>
                <w:color w:val="auto"/>
              </w:rPr>
              <w:t xml:space="preserve">144,978 subject to adjustment according to </w:t>
            </w:r>
            <w:r>
              <w:rPr>
                <w:rFonts w:ascii="Arial" w:cs="Arial" w:eastAsia="Arial" w:hAnsi="Arial"/>
                <w:sz w:val="16"/>
                <w:szCs w:val="16"/>
                <w:b w:val="1"/>
                <w:bCs w:val="1"/>
                <w:color w:val="auto"/>
              </w:rPr>
              <w:t>SECTIONS II &amp;</w:t>
            </w:r>
          </w:p>
        </w:tc>
      </w:tr>
      <w:tr>
        <w:trPr>
          <w:trHeight w:val="169"/>
        </w:trPr>
        <w:tc>
          <w:tcPr>
            <w:tcW w:w="1740" w:type="dxa"/>
            <w:vAlign w:val="bottom"/>
          </w:tcPr>
          <w:p>
            <w:pPr>
              <w:jc w:val="right"/>
              <w:ind w:right="139"/>
              <w:spacing w:after="0" w:line="169" w:lineRule="exact"/>
              <w:rPr>
                <w:sz w:val="20"/>
                <w:szCs w:val="20"/>
                <w:color w:val="auto"/>
              </w:rPr>
            </w:pPr>
            <w:r>
              <w:rPr>
                <w:rFonts w:ascii="Arial" w:cs="Arial" w:eastAsia="Arial" w:hAnsi="Arial"/>
                <w:sz w:val="16"/>
                <w:szCs w:val="16"/>
                <w:color w:val="auto"/>
              </w:rPr>
              <w:t>Shares: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line="169" w:lineRule="exact"/>
              <w:rPr>
                <w:sz w:val="20"/>
                <w:szCs w:val="20"/>
                <w:color w:val="auto"/>
              </w:rPr>
            </w:pPr>
            <w:r>
              <w:rPr>
                <w:rFonts w:ascii="Arial" w:cs="Arial" w:eastAsia="Arial" w:hAnsi="Arial"/>
                <w:sz w:val="16"/>
                <w:szCs w:val="16"/>
                <w:b w:val="1"/>
                <w:bCs w:val="1"/>
                <w:color w:val="auto"/>
                <w:w w:val="89"/>
              </w:rPr>
              <w:t>III</w:t>
            </w:r>
          </w:p>
        </w:tc>
        <w:tc>
          <w:tcPr>
            <w:tcW w:w="30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bl>
    <w:p>
      <w:pPr>
        <w:spacing w:after="0" w:line="53" w:lineRule="exact"/>
        <w:rPr>
          <w:sz w:val="20"/>
          <w:szCs w:val="20"/>
          <w:color w:val="auto"/>
        </w:rPr>
      </w:pPr>
    </w:p>
    <w:p>
      <w:pPr>
        <w:ind w:left="2760" w:hanging="308"/>
        <w:spacing w:after="0"/>
        <w:tabs>
          <w:tab w:leader="none" w:pos="2760" w:val="left"/>
        </w:tabs>
        <w:numPr>
          <w:ilvl w:val="0"/>
          <w:numId w:val="11"/>
        </w:numPr>
        <w:rPr>
          <w:rFonts w:ascii="MS PGothic" w:cs="MS PGothic" w:eastAsia="MS PGothic" w:hAnsi="MS PGothic"/>
          <w:sz w:val="16"/>
          <w:szCs w:val="16"/>
          <w:color w:val="auto"/>
        </w:rPr>
      </w:pPr>
      <w:r>
        <w:rPr>
          <w:rFonts w:ascii="Arial" w:cs="Arial" w:eastAsia="Arial" w:hAnsi="Arial"/>
          <w:sz w:val="16"/>
          <w:szCs w:val="16"/>
          <w:color w:val="auto"/>
        </w:rPr>
        <w:t>Plus additional shares to be determined according to</w:t>
      </w:r>
    </w:p>
    <w:p>
      <w:pPr>
        <w:spacing w:after="0" w:line="21" w:lineRule="exact"/>
        <w:rPr>
          <w:rFonts w:ascii="MS PGothic" w:cs="MS PGothic" w:eastAsia="MS PGothic" w:hAnsi="MS PGothic"/>
          <w:sz w:val="16"/>
          <w:szCs w:val="16"/>
          <w:color w:val="auto"/>
        </w:rPr>
      </w:pPr>
    </w:p>
    <w:p>
      <w:pPr>
        <w:ind w:left="2760"/>
        <w:spacing w:after="0"/>
        <w:rPr>
          <w:rFonts w:ascii="MS PGothic" w:cs="MS PGothic" w:eastAsia="MS PGothic" w:hAnsi="MS PGothic"/>
          <w:sz w:val="16"/>
          <w:szCs w:val="16"/>
          <w:color w:val="auto"/>
        </w:rPr>
      </w:pPr>
      <w:r>
        <w:rPr>
          <w:rFonts w:ascii="Arial" w:cs="Arial" w:eastAsia="Arial" w:hAnsi="Arial"/>
          <w:sz w:val="16"/>
          <w:szCs w:val="16"/>
          <w:b w:val="1"/>
          <w:bCs w:val="1"/>
          <w:u w:val="single" w:color="auto"/>
          <w:color w:val="auto"/>
        </w:rPr>
        <w:t>SECTIONS II &amp;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207645</wp:posOffset>
            </wp:positionV>
            <wp:extent cx="27857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361" w:lineRule="exact"/>
        <w:rPr>
          <w:sz w:val="20"/>
          <w:szCs w:val="20"/>
          <w:color w:val="auto"/>
        </w:rPr>
      </w:pPr>
    </w:p>
    <w:tbl>
      <w:tblPr>
        <w:tblLayout w:type="fixed"/>
        <w:tblInd w:w="1240" w:type="dxa"/>
        <w:tblCellMar>
          <w:top w:w="0" w:type="dxa"/>
          <w:left w:w="0" w:type="dxa"/>
          <w:bottom w:w="0" w:type="dxa"/>
          <w:right w:w="0" w:type="dxa"/>
        </w:tblCellMar>
      </w:tblPr>
      <w:tr>
        <w:trPr>
          <w:trHeight w:val="189"/>
        </w:trPr>
        <w:tc>
          <w:tcPr>
            <w:tcW w:w="1460" w:type="dxa"/>
            <w:vAlign w:val="bottom"/>
          </w:tcPr>
          <w:p>
            <w:pPr>
              <w:jc w:val="right"/>
              <w:ind w:right="299"/>
              <w:spacing w:after="0"/>
              <w:rPr>
                <w:sz w:val="20"/>
                <w:szCs w:val="20"/>
                <w:color w:val="auto"/>
              </w:rPr>
            </w:pPr>
            <w:r>
              <w:rPr>
                <w:rFonts w:ascii="Arial" w:cs="Arial" w:eastAsia="Arial" w:hAnsi="Arial"/>
                <w:sz w:val="16"/>
                <w:szCs w:val="16"/>
                <w:color w:val="auto"/>
              </w:rPr>
              <w:t>Plan</w:t>
            </w:r>
          </w:p>
        </w:tc>
        <w:tc>
          <w:tcPr>
            <w:tcW w:w="4380" w:type="dxa"/>
            <w:vAlign w:val="bottom"/>
            <w:gridSpan w:val="2"/>
          </w:tcPr>
          <w:p>
            <w:pPr>
              <w:ind w:left="60"/>
              <w:spacing w:after="0"/>
              <w:rPr>
                <w:sz w:val="20"/>
                <w:szCs w:val="20"/>
                <w:color w:val="auto"/>
              </w:rPr>
            </w:pPr>
            <w:r>
              <w:rPr>
                <w:rFonts w:ascii="Arial" w:cs="Arial" w:eastAsia="Arial" w:hAnsi="Arial"/>
                <w:sz w:val="16"/>
                <w:szCs w:val="16"/>
                <w:color w:val="auto"/>
              </w:rPr>
              <w:t>17-Jun-2026</w:t>
            </w:r>
          </w:p>
        </w:tc>
        <w:tc>
          <w:tcPr>
            <w:tcW w:w="0" w:type="dxa"/>
            <w:vAlign w:val="bottom"/>
          </w:tcPr>
          <w:p>
            <w:pPr>
              <w:spacing w:after="0"/>
              <w:rPr>
                <w:sz w:val="1"/>
                <w:szCs w:val="1"/>
                <w:color w:val="auto"/>
              </w:rPr>
            </w:pPr>
          </w:p>
        </w:tc>
      </w:tr>
      <w:tr>
        <w:trPr>
          <w:trHeight w:val="215"/>
        </w:trPr>
        <w:tc>
          <w:tcPr>
            <w:tcW w:w="1460" w:type="dxa"/>
            <w:vAlign w:val="bottom"/>
          </w:tcPr>
          <w:p>
            <w:pPr>
              <w:jc w:val="right"/>
              <w:ind w:right="299"/>
              <w:spacing w:after="0"/>
              <w:rPr>
                <w:sz w:val="20"/>
                <w:szCs w:val="20"/>
                <w:color w:val="auto"/>
              </w:rPr>
            </w:pPr>
            <w:r>
              <w:rPr>
                <w:rFonts w:ascii="Arial" w:cs="Arial" w:eastAsia="Arial" w:hAnsi="Arial"/>
                <w:sz w:val="16"/>
                <w:szCs w:val="16"/>
                <w:color w:val="auto"/>
              </w:rPr>
              <w:t>Adoption Date:</w:t>
            </w:r>
          </w:p>
        </w:tc>
        <w:tc>
          <w:tcPr>
            <w:tcW w:w="3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460" w:type="dxa"/>
            <w:vAlign w:val="bottom"/>
            <w:vMerge w:val="restart"/>
          </w:tcPr>
          <w:p>
            <w:pPr>
              <w:jc w:val="right"/>
              <w:ind w:right="299"/>
              <w:spacing w:after="0"/>
              <w:rPr>
                <w:sz w:val="20"/>
                <w:szCs w:val="20"/>
                <w:color w:val="auto"/>
              </w:rPr>
            </w:pPr>
            <w:r>
              <w:rPr>
                <w:rFonts w:ascii="Arial" w:cs="Arial" w:eastAsia="Arial" w:hAnsi="Arial"/>
                <w:sz w:val="16"/>
                <w:szCs w:val="16"/>
                <w:color w:val="auto"/>
              </w:rPr>
              <w:t>First</w:t>
            </w:r>
          </w:p>
        </w:tc>
        <w:tc>
          <w:tcPr>
            <w:tcW w:w="3100" w:type="dxa"/>
            <w:vAlign w:val="bottom"/>
            <w:tcBorders>
              <w:bottom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1460" w:type="dxa"/>
            <w:vAlign w:val="bottom"/>
            <w:vMerge w:val="continue"/>
          </w:tcPr>
          <w:p>
            <w:pPr>
              <w:spacing w:after="0"/>
              <w:rPr>
                <w:sz w:val="19"/>
                <w:szCs w:val="19"/>
                <w:color w:val="auto"/>
              </w:rPr>
            </w:pPr>
          </w:p>
        </w:tc>
        <w:tc>
          <w:tcPr>
            <w:tcW w:w="4380" w:type="dxa"/>
            <w:vAlign w:val="bottom"/>
            <w:gridSpan w:val="2"/>
          </w:tcPr>
          <w:p>
            <w:pPr>
              <w:ind w:left="60"/>
              <w:spacing w:after="0"/>
              <w:rPr>
                <w:sz w:val="20"/>
                <w:szCs w:val="20"/>
                <w:color w:val="auto"/>
              </w:rPr>
            </w:pPr>
            <w:r>
              <w:rPr>
                <w:rFonts w:ascii="Arial" w:cs="Arial" w:eastAsia="Arial" w:hAnsi="Arial"/>
                <w:sz w:val="16"/>
                <w:szCs w:val="16"/>
                <w:color w:val="auto"/>
              </w:rPr>
              <w:t>16-Sep-2026</w:t>
            </w:r>
          </w:p>
        </w:tc>
        <w:tc>
          <w:tcPr>
            <w:tcW w:w="0" w:type="dxa"/>
            <w:vAlign w:val="bottom"/>
          </w:tcPr>
          <w:p>
            <w:pPr>
              <w:spacing w:after="0"/>
              <w:rPr>
                <w:sz w:val="1"/>
                <w:szCs w:val="1"/>
                <w:color w:val="auto"/>
              </w:rPr>
            </w:pPr>
          </w:p>
        </w:tc>
      </w:tr>
      <w:tr>
        <w:trPr>
          <w:trHeight w:val="215"/>
        </w:trPr>
        <w:tc>
          <w:tcPr>
            <w:tcW w:w="1460" w:type="dxa"/>
            <w:vAlign w:val="bottom"/>
          </w:tcPr>
          <w:p>
            <w:pPr>
              <w:jc w:val="right"/>
              <w:ind w:right="299"/>
              <w:spacing w:after="0"/>
              <w:rPr>
                <w:sz w:val="20"/>
                <w:szCs w:val="20"/>
                <w:color w:val="auto"/>
              </w:rPr>
            </w:pPr>
            <w:r>
              <w:rPr>
                <w:rFonts w:ascii="Arial" w:cs="Arial" w:eastAsia="Arial" w:hAnsi="Arial"/>
                <w:sz w:val="16"/>
                <w:szCs w:val="16"/>
                <w:color w:val="auto"/>
              </w:rPr>
              <w:t>Trade Date:</w:t>
            </w:r>
          </w:p>
        </w:tc>
        <w:tc>
          <w:tcPr>
            <w:tcW w:w="3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460" w:type="dxa"/>
            <w:vAlign w:val="bottom"/>
            <w:vMerge w:val="restart"/>
          </w:tcPr>
          <w:p>
            <w:pPr>
              <w:jc w:val="right"/>
              <w:ind w:right="299"/>
              <w:spacing w:after="0"/>
              <w:rPr>
                <w:sz w:val="20"/>
                <w:szCs w:val="20"/>
                <w:color w:val="auto"/>
              </w:rPr>
            </w:pPr>
            <w:r>
              <w:rPr>
                <w:rFonts w:ascii="Arial" w:cs="Arial" w:eastAsia="Arial" w:hAnsi="Arial"/>
                <w:sz w:val="16"/>
                <w:szCs w:val="16"/>
                <w:color w:val="auto"/>
              </w:rPr>
              <w:t>Plan</w:t>
            </w:r>
          </w:p>
        </w:tc>
        <w:tc>
          <w:tcPr>
            <w:tcW w:w="3100" w:type="dxa"/>
            <w:vAlign w:val="bottom"/>
            <w:tcBorders>
              <w:bottom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1460" w:type="dxa"/>
            <w:vAlign w:val="bottom"/>
            <w:vMerge w:val="continue"/>
          </w:tcPr>
          <w:p>
            <w:pPr>
              <w:spacing w:after="0"/>
              <w:rPr>
                <w:sz w:val="19"/>
                <w:szCs w:val="19"/>
                <w:color w:val="auto"/>
              </w:rPr>
            </w:pPr>
          </w:p>
        </w:tc>
        <w:tc>
          <w:tcPr>
            <w:tcW w:w="4380" w:type="dxa"/>
            <w:vAlign w:val="bottom"/>
            <w:gridSpan w:val="2"/>
          </w:tcPr>
          <w:p>
            <w:pPr>
              <w:ind w:left="60"/>
              <w:spacing w:after="0"/>
              <w:rPr>
                <w:sz w:val="20"/>
                <w:szCs w:val="20"/>
                <w:color w:val="auto"/>
              </w:rPr>
            </w:pPr>
            <w:r>
              <w:rPr>
                <w:rFonts w:ascii="Arial" w:cs="Arial" w:eastAsia="Arial" w:hAnsi="Arial"/>
                <w:sz w:val="16"/>
                <w:szCs w:val="16"/>
                <w:color w:val="auto"/>
              </w:rPr>
              <w:t>31-Mar-2027</w:t>
            </w:r>
          </w:p>
        </w:tc>
        <w:tc>
          <w:tcPr>
            <w:tcW w:w="0" w:type="dxa"/>
            <w:vAlign w:val="bottom"/>
          </w:tcPr>
          <w:p>
            <w:pPr>
              <w:spacing w:after="0"/>
              <w:rPr>
                <w:sz w:val="1"/>
                <w:szCs w:val="1"/>
                <w:color w:val="auto"/>
              </w:rPr>
            </w:pPr>
          </w:p>
        </w:tc>
      </w:tr>
      <w:tr>
        <w:trPr>
          <w:trHeight w:val="215"/>
        </w:trPr>
        <w:tc>
          <w:tcPr>
            <w:tcW w:w="1460" w:type="dxa"/>
            <w:vAlign w:val="bottom"/>
          </w:tcPr>
          <w:p>
            <w:pPr>
              <w:jc w:val="right"/>
              <w:ind w:right="299"/>
              <w:spacing w:after="0"/>
              <w:rPr>
                <w:sz w:val="20"/>
                <w:szCs w:val="20"/>
                <w:color w:val="auto"/>
              </w:rPr>
            </w:pPr>
            <w:r>
              <w:rPr>
                <w:rFonts w:ascii="Arial" w:cs="Arial" w:eastAsia="Arial" w:hAnsi="Arial"/>
                <w:sz w:val="16"/>
                <w:szCs w:val="16"/>
                <w:color w:val="auto"/>
              </w:rPr>
              <w:t>End Date:</w:t>
            </w:r>
          </w:p>
        </w:tc>
        <w:tc>
          <w:tcPr>
            <w:tcW w:w="3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460" w:type="dxa"/>
            <w:vAlign w:val="bottom"/>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1460" w:type="dxa"/>
            <w:vAlign w:val="bottom"/>
          </w:tcPr>
          <w:p>
            <w:pPr>
              <w:jc w:val="right"/>
              <w:ind w:right="299"/>
              <w:spacing w:after="0"/>
              <w:rPr>
                <w:sz w:val="20"/>
                <w:szCs w:val="20"/>
                <w:color w:val="auto"/>
              </w:rPr>
            </w:pPr>
            <w:r>
              <w:rPr>
                <w:rFonts w:ascii="Arial" w:cs="Arial" w:eastAsia="Arial" w:hAnsi="Arial"/>
                <w:sz w:val="16"/>
                <w:szCs w:val="16"/>
                <w:color w:val="auto"/>
              </w:rPr>
              <w:t>Share Trading</w:t>
            </w:r>
          </w:p>
        </w:tc>
        <w:tc>
          <w:tcPr>
            <w:tcW w:w="4380" w:type="dxa"/>
            <w:vAlign w:val="bottom"/>
            <w:gridSpan w:val="2"/>
          </w:tcPr>
          <w:p>
            <w:pPr>
              <w:ind w:left="60"/>
              <w:spacing w:after="0" w:line="184" w:lineRule="exact"/>
              <w:rPr>
                <w:sz w:val="20"/>
                <w:szCs w:val="20"/>
                <w:color w:val="auto"/>
              </w:rPr>
            </w:pPr>
            <w:r>
              <w:rPr>
                <w:rFonts w:ascii="Arial" w:cs="Arial" w:eastAsia="Arial" w:hAnsi="Arial"/>
                <w:sz w:val="16"/>
                <w:szCs w:val="16"/>
                <w:color w:val="auto"/>
              </w:rPr>
              <w:t xml:space="preserve">2.0 </w:t>
            </w:r>
            <w:r>
              <w:rPr>
                <w:rFonts w:ascii="MS PGothic" w:cs="MS PGothic" w:eastAsia="MS PGothic" w:hAnsi="MS PGothic"/>
                <w:sz w:val="16"/>
                <w:szCs w:val="16"/>
                <w:color w:val="auto"/>
              </w:rPr>
              <w:t>☑</w:t>
            </w:r>
            <w:r>
              <w:rPr>
                <w:rFonts w:ascii="Arial" w:cs="Arial" w:eastAsia="Arial" w:hAnsi="Arial"/>
                <w:sz w:val="16"/>
                <w:szCs w:val="16"/>
                <w:color w:val="auto"/>
              </w:rPr>
              <w:t xml:space="preserve"> cents per share </w:t>
            </w:r>
            <w:r>
              <w:rPr>
                <w:rFonts w:ascii="MS PGothic" w:cs="MS PGothic" w:eastAsia="MS PGothic" w:hAnsi="MS PGothic"/>
                <w:sz w:val="16"/>
                <w:szCs w:val="16"/>
                <w:color w:val="auto"/>
              </w:rPr>
              <w:t>☐</w:t>
            </w:r>
            <w:r>
              <w:rPr>
                <w:rFonts w:ascii="Arial" w:cs="Arial" w:eastAsia="Arial" w:hAnsi="Arial"/>
                <w:sz w:val="16"/>
                <w:szCs w:val="16"/>
                <w:color w:val="auto"/>
              </w:rPr>
              <w:t xml:space="preserve"> bps</w:t>
            </w:r>
          </w:p>
        </w:tc>
        <w:tc>
          <w:tcPr>
            <w:tcW w:w="0" w:type="dxa"/>
            <w:vAlign w:val="bottom"/>
          </w:tcPr>
          <w:p>
            <w:pPr>
              <w:spacing w:after="0"/>
              <w:rPr>
                <w:sz w:val="1"/>
                <w:szCs w:val="1"/>
                <w:color w:val="auto"/>
              </w:rPr>
            </w:pPr>
          </w:p>
        </w:tc>
      </w:tr>
      <w:tr>
        <w:trPr>
          <w:trHeight w:val="215"/>
        </w:trPr>
        <w:tc>
          <w:tcPr>
            <w:tcW w:w="1460" w:type="dxa"/>
            <w:vAlign w:val="bottom"/>
          </w:tcPr>
          <w:p>
            <w:pPr>
              <w:jc w:val="right"/>
              <w:ind w:right="299"/>
              <w:spacing w:after="0"/>
              <w:rPr>
                <w:sz w:val="20"/>
                <w:szCs w:val="20"/>
                <w:color w:val="auto"/>
              </w:rPr>
            </w:pPr>
            <w:r>
              <w:rPr>
                <w:rFonts w:ascii="Arial" w:cs="Arial" w:eastAsia="Arial" w:hAnsi="Arial"/>
                <w:sz w:val="16"/>
                <w:szCs w:val="16"/>
                <w:color w:val="auto"/>
              </w:rPr>
              <w:t>Commissions:</w:t>
            </w:r>
          </w:p>
        </w:tc>
        <w:tc>
          <w:tcPr>
            <w:tcW w:w="3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u w:val="single" w:color="auto"/>
          <w:color w:val="0563C1"/>
        </w:rPr>
        <w:t>Table of Contents</w:t>
      </w:r>
      <w:r>
        <w:rPr>
          <w:rFonts w:ascii="Arial" w:cs="Arial" w:eastAsia="Arial" w:hAnsi="Arial"/>
          <w:sz w:val="14"/>
          <w:szCs w:val="14"/>
          <w:color w:val="0563C1"/>
        </w:rPr>
        <w:t xml:space="preserve"> </w:t>
      </w:r>
      <w:r>
        <w:rPr>
          <w:rFonts w:ascii="Arial" w:cs="Arial" w:eastAsia="Arial" w:hAnsi="Arial"/>
          <w:sz w:val="14"/>
          <w:szCs w:val="14"/>
          <w:color w:val="000000"/>
        </w:rPr>
        <w:t>2</w:t>
      </w:r>
    </w:p>
    <w:p>
      <w:pPr>
        <w:sectPr>
          <w:pgSz w:w="11900" w:h="16838" w:orient="portrait"/>
          <w:cols w:equalWidth="0" w:num="1">
            <w:col w:w="10139"/>
          </w:cols>
          <w:pgMar w:left="320" w:top="115" w:right="1440" w:bottom="1440" w:gutter="0" w:footer="0" w:header="0"/>
          <w:type w:val="continuous"/>
        </w:sectPr>
      </w:pPr>
    </w:p>
    <w:bookmarkStart w:id="6" w:name="page7"/>
    <w:bookmarkEnd w:id="6"/>
    <w:p>
      <w:pPr>
        <w:ind w:left="2880"/>
        <w:spacing w:after="0"/>
        <w:rPr>
          <w:sz w:val="20"/>
          <w:szCs w:val="20"/>
          <w:color w:val="auto"/>
        </w:rPr>
      </w:pPr>
      <w:r>
        <w:rPr>
          <w:rFonts w:ascii="Arial" w:cs="Arial" w:eastAsia="Arial" w:hAnsi="Arial"/>
          <w:sz w:val="36"/>
          <w:szCs w:val="36"/>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445770" cy="445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445770" cy="445770"/>
                    </a:xfrm>
                    <a:prstGeom prst="rect">
                      <a:avLst/>
                    </a:prstGeom>
                    <a:noFill/>
                  </pic:spPr>
                </pic:pic>
              </a:graphicData>
            </a:graphic>
          </wp:anchor>
        </w:drawing>
        <w:t>10b5-1 Plan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SECTION II</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23"/>
          <w:szCs w:val="23"/>
          <w:b w:val="1"/>
          <w:bCs w:val="1"/>
          <w:color w:val="auto"/>
        </w:rPr>
        <w:t>Equity Information</w:t>
      </w:r>
    </w:p>
    <w:p>
      <w:pPr>
        <w:spacing w:after="0" w:line="59"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i w:val="1"/>
          <w:iCs w:val="1"/>
          <w:color w:val="auto"/>
        </w:rPr>
        <w:t>CLIENT</w:t>
      </w:r>
    </w:p>
    <w:p>
      <w:pPr>
        <w:spacing w:after="0" w:line="385" w:lineRule="exact"/>
        <w:rPr>
          <w:sz w:val="20"/>
          <w:szCs w:val="20"/>
          <w:color w:val="auto"/>
        </w:rPr>
      </w:pPr>
    </w:p>
    <w:p>
      <w:pPr>
        <w:ind w:left="3420"/>
        <w:spacing w:after="0" w:line="184" w:lineRule="exact"/>
        <w:tabs>
          <w:tab w:leader="none" w:pos="4420" w:val="left"/>
        </w:tabs>
        <w:rPr>
          <w:sz w:val="20"/>
          <w:szCs w:val="20"/>
          <w:color w:val="auto"/>
        </w:rPr>
      </w:pPr>
      <w:r>
        <w:rPr>
          <w:rFonts w:ascii="Arial" w:cs="Arial" w:eastAsia="Arial" w:hAnsi="Arial"/>
          <w:sz w:val="16"/>
          <w:szCs w:val="16"/>
          <w:color w:val="auto"/>
        </w:rPr>
        <w:t>Equity Type:</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Sale of Long Shares</w:t>
      </w:r>
    </w:p>
    <w:p>
      <w:pPr>
        <w:spacing w:after="0" w:line="135" w:lineRule="exact"/>
        <w:rPr>
          <w:sz w:val="20"/>
          <w:szCs w:val="20"/>
          <w:color w:val="auto"/>
        </w:rPr>
      </w:pPr>
    </w:p>
    <w:p>
      <w:pPr>
        <w:ind w:left="4440" w:right="1700" w:firstLine="10"/>
        <w:spacing w:after="0" w:line="240" w:lineRule="exact"/>
        <w:tabs>
          <w:tab w:leader="none" w:pos="4750" w:val="left"/>
        </w:tabs>
        <w:numPr>
          <w:ilvl w:val="0"/>
          <w:numId w:val="12"/>
        </w:numPr>
        <w:rPr>
          <w:rFonts w:ascii="MS PGothic" w:cs="MS PGothic" w:eastAsia="MS PGothic" w:hAnsi="MS PGothic"/>
          <w:sz w:val="16"/>
          <w:szCs w:val="16"/>
          <w:color w:val="auto"/>
        </w:rPr>
      </w:pPr>
      <w:r>
        <w:rPr>
          <w:rFonts w:ascii="Arial" w:cs="Arial" w:eastAsia="Arial" w:hAnsi="Arial"/>
          <w:sz w:val="16"/>
          <w:szCs w:val="16"/>
          <w:color w:val="auto"/>
        </w:rPr>
        <w:t xml:space="preserve">Exercise of Stock Options and Same-Day Sale of Underlying Stock </w:t>
      </w:r>
      <w:r>
        <w:rPr>
          <w:rFonts w:ascii="MS PGothic" w:cs="MS PGothic" w:eastAsia="MS PGothic" w:hAnsi="MS PGothic"/>
          <w:sz w:val="16"/>
          <w:szCs w:val="16"/>
          <w:color w:val="auto"/>
        </w:rPr>
        <w:t>☑</w:t>
      </w:r>
      <w:r>
        <w:rPr>
          <w:rFonts w:ascii="Arial" w:cs="Arial" w:eastAsia="Arial" w:hAnsi="Arial"/>
          <w:sz w:val="16"/>
          <w:szCs w:val="16"/>
          <w:color w:val="auto"/>
        </w:rPr>
        <w:t xml:space="preserve"> Sale of Restricted Stock Units (RSUs)</w:t>
      </w:r>
    </w:p>
    <w:p>
      <w:pPr>
        <w:spacing w:after="0" w:line="7" w:lineRule="exact"/>
        <w:rPr>
          <w:rFonts w:ascii="MS PGothic" w:cs="MS PGothic" w:eastAsia="MS PGothic" w:hAnsi="MS PGothic"/>
          <w:sz w:val="16"/>
          <w:szCs w:val="16"/>
          <w:color w:val="auto"/>
        </w:rPr>
      </w:pPr>
    </w:p>
    <w:p>
      <w:pPr>
        <w:ind w:left="4760" w:hanging="310"/>
        <w:spacing w:after="0"/>
        <w:tabs>
          <w:tab w:leader="none" w:pos="4760" w:val="left"/>
        </w:tabs>
        <w:numPr>
          <w:ilvl w:val="0"/>
          <w:numId w:val="12"/>
        </w:numPr>
        <w:rPr>
          <w:rFonts w:ascii="MS PGothic" w:cs="MS PGothic" w:eastAsia="MS PGothic" w:hAnsi="MS PGothic"/>
          <w:sz w:val="16"/>
          <w:szCs w:val="16"/>
          <w:color w:val="auto"/>
        </w:rPr>
      </w:pPr>
      <w:r>
        <w:rPr>
          <w:rFonts w:ascii="Arial" w:cs="Arial" w:eastAsia="Arial" w:hAnsi="Arial"/>
          <w:sz w:val="16"/>
          <w:szCs w:val="16"/>
          <w:color w:val="auto"/>
        </w:rPr>
        <w:t>Sale of Restricted Stock Awards (RSAs)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6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Client Name</w:t>
            </w:r>
          </w:p>
        </w:tc>
        <w:tc>
          <w:tcPr>
            <w:tcW w:w="20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Type</w:t>
            </w:r>
          </w:p>
        </w:tc>
        <w:tc>
          <w:tcPr>
            <w:tcW w:w="10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Grant ID</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Grant Date</w:t>
            </w:r>
          </w:p>
        </w:tc>
        <w:tc>
          <w:tcPr>
            <w:tcW w:w="12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Grant Price</w:t>
            </w:r>
          </w:p>
        </w:tc>
        <w:tc>
          <w:tcPr>
            <w:tcW w:w="15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Gross Quantity</w:t>
            </w:r>
          </w:p>
        </w:tc>
        <w:tc>
          <w:tcPr>
            <w:tcW w:w="13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Vest Date</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Quantity to</w:t>
            </w:r>
          </w:p>
        </w:tc>
        <w:tc>
          <w:tcPr>
            <w:tcW w:w="0" w:type="dxa"/>
            <w:vAlign w:val="bottom"/>
          </w:tcPr>
          <w:p>
            <w:pPr>
              <w:spacing w:after="0"/>
              <w:rPr>
                <w:sz w:val="1"/>
                <w:szCs w:val="1"/>
                <w:color w:val="auto"/>
              </w:rPr>
            </w:pPr>
          </w:p>
        </w:tc>
      </w:tr>
      <w:tr>
        <w:trPr>
          <w:trHeight w:val="115"/>
        </w:trPr>
        <w:tc>
          <w:tcPr>
            <w:tcW w:w="1680" w:type="dxa"/>
            <w:vAlign w:val="bottom"/>
            <w:tcBorders>
              <w:left w:val="single" w:sz="8" w:color="auto"/>
              <w:right w:val="single" w:sz="8" w:color="auto"/>
            </w:tcBorders>
            <w:vMerge w:val="continue"/>
          </w:tcPr>
          <w:p>
            <w:pPr>
              <w:spacing w:after="0"/>
              <w:rPr>
                <w:sz w:val="9"/>
                <w:szCs w:val="9"/>
                <w:color w:val="auto"/>
              </w:rPr>
            </w:pPr>
          </w:p>
        </w:tc>
        <w:tc>
          <w:tcPr>
            <w:tcW w:w="2040" w:type="dxa"/>
            <w:vAlign w:val="bottom"/>
            <w:tcBorders>
              <w:right w:val="single" w:sz="8" w:color="auto"/>
            </w:tcBorders>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Sell</w:t>
            </w:r>
          </w:p>
        </w:tc>
        <w:tc>
          <w:tcPr>
            <w:tcW w:w="0" w:type="dxa"/>
            <w:vAlign w:val="bottom"/>
          </w:tcPr>
          <w:p>
            <w:pPr>
              <w:spacing w:after="0"/>
              <w:rPr>
                <w:sz w:val="1"/>
                <w:szCs w:val="1"/>
                <w:color w:val="auto"/>
              </w:rPr>
            </w:pPr>
          </w:p>
        </w:tc>
      </w:tr>
      <w:tr>
        <w:trPr>
          <w:trHeight w:val="108"/>
        </w:trPr>
        <w:tc>
          <w:tcPr>
            <w:tcW w:w="1680" w:type="dxa"/>
            <w:vAlign w:val="bottom"/>
            <w:tcBorders>
              <w:left w:val="single" w:sz="8" w:color="auto"/>
              <w:right w:val="single" w:sz="8" w:color="auto"/>
            </w:tcBorders>
          </w:tcPr>
          <w:p>
            <w:pPr>
              <w:spacing w:after="0"/>
              <w:rPr>
                <w:sz w:val="9"/>
                <w:szCs w:val="9"/>
                <w:color w:val="auto"/>
              </w:rPr>
            </w:pPr>
          </w:p>
        </w:tc>
        <w:tc>
          <w:tcPr>
            <w:tcW w:w="2040" w:type="dxa"/>
            <w:vAlign w:val="bottom"/>
            <w:tcBorders>
              <w:right w:val="single" w:sz="8" w:color="auto"/>
            </w:tcBorders>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1680" w:type="dxa"/>
            <w:vAlign w:val="bottom"/>
            <w:tcBorders>
              <w:left w:val="single" w:sz="8" w:color="auto"/>
              <w:bottom w:val="single" w:sz="8" w:color="auto"/>
              <w:right w:val="single" w:sz="8" w:color="auto"/>
            </w:tcBorders>
          </w:tcPr>
          <w:p>
            <w:pPr>
              <w:spacing w:after="0"/>
              <w:rPr>
                <w:sz w:val="14"/>
                <w:szCs w:val="14"/>
                <w:color w:val="auto"/>
              </w:rPr>
            </w:pPr>
          </w:p>
        </w:tc>
        <w:tc>
          <w:tcPr>
            <w:tcW w:w="204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158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Lawrence James</w:t>
            </w:r>
          </w:p>
        </w:tc>
        <w:tc>
          <w:tcPr>
            <w:tcW w:w="2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Long Shares</w:t>
            </w:r>
          </w:p>
        </w:tc>
        <w:tc>
          <w:tcPr>
            <w:tcW w:w="1040" w:type="dxa"/>
            <w:vAlign w:val="bottom"/>
            <w:tcBorders>
              <w:right w:val="single" w:sz="8" w:color="auto"/>
            </w:tcBorders>
            <w:vMerge w:val="restart"/>
          </w:tcPr>
          <w:p>
            <w:pPr>
              <w:jc w:val="right"/>
              <w:ind w:right="419"/>
              <w:spacing w:after="0"/>
              <w:rPr>
                <w:sz w:val="20"/>
                <w:szCs w:val="20"/>
                <w:color w:val="auto"/>
              </w:rPr>
            </w:pPr>
            <w:r>
              <w:rPr>
                <w:rFonts w:ascii="Arial" w:cs="Arial" w:eastAsia="Arial" w:hAnsi="Arial"/>
                <w:sz w:val="16"/>
                <w:szCs w:val="16"/>
                <w:color w:val="auto"/>
              </w:rPr>
              <w:t>-</w:t>
            </w:r>
          </w:p>
        </w:tc>
        <w:tc>
          <w:tcPr>
            <w:tcW w:w="1320" w:type="dxa"/>
            <w:vAlign w:val="bottom"/>
            <w:tcBorders>
              <w:right w:val="single" w:sz="8" w:color="auto"/>
            </w:tcBorders>
            <w:vMerge w:val="restart"/>
          </w:tcPr>
          <w:p>
            <w:pPr>
              <w:jc w:val="right"/>
              <w:ind w:right="559"/>
              <w:spacing w:after="0"/>
              <w:rPr>
                <w:sz w:val="20"/>
                <w:szCs w:val="20"/>
                <w:color w:val="auto"/>
              </w:rPr>
            </w:pPr>
            <w:r>
              <w:rPr>
                <w:rFonts w:ascii="Arial" w:cs="Arial" w:eastAsia="Arial" w:hAnsi="Arial"/>
                <w:sz w:val="16"/>
                <w:szCs w:val="16"/>
                <w:color w:val="auto"/>
              </w:rPr>
              <w:t>-</w:t>
            </w:r>
          </w:p>
        </w:tc>
        <w:tc>
          <w:tcPr>
            <w:tcW w:w="1240" w:type="dxa"/>
            <w:vAlign w:val="bottom"/>
            <w:tcBorders>
              <w:right w:val="single" w:sz="8" w:color="auto"/>
            </w:tcBorders>
            <w:vMerge w:val="restart"/>
          </w:tcPr>
          <w:p>
            <w:pPr>
              <w:jc w:val="right"/>
              <w:ind w:right="519"/>
              <w:spacing w:after="0"/>
              <w:rPr>
                <w:sz w:val="20"/>
                <w:szCs w:val="20"/>
                <w:color w:val="auto"/>
              </w:rPr>
            </w:pPr>
            <w:r>
              <w:rPr>
                <w:rFonts w:ascii="Arial" w:cs="Arial" w:eastAsia="Arial" w:hAnsi="Arial"/>
                <w:sz w:val="16"/>
                <w:szCs w:val="16"/>
                <w:color w:val="auto"/>
              </w:rPr>
              <w:t>-</w:t>
            </w:r>
          </w:p>
        </w:tc>
        <w:tc>
          <w:tcPr>
            <w:tcW w:w="1580" w:type="dxa"/>
            <w:vAlign w:val="bottom"/>
            <w:tcBorders>
              <w:right w:val="single" w:sz="8" w:color="auto"/>
            </w:tcBorders>
            <w:vMerge w:val="restart"/>
          </w:tcPr>
          <w:p>
            <w:pPr>
              <w:jc w:val="right"/>
              <w:ind w:right="699"/>
              <w:spacing w:after="0"/>
              <w:rPr>
                <w:sz w:val="20"/>
                <w:szCs w:val="20"/>
                <w:color w:val="auto"/>
              </w:rPr>
            </w:pPr>
            <w:r>
              <w:rPr>
                <w:rFonts w:ascii="Arial" w:cs="Arial" w:eastAsia="Arial" w:hAnsi="Arial"/>
                <w:sz w:val="16"/>
                <w:szCs w:val="16"/>
                <w:color w:val="auto"/>
              </w:rPr>
              <w:t>-</w:t>
            </w:r>
          </w:p>
        </w:tc>
        <w:tc>
          <w:tcPr>
            <w:tcW w:w="1360" w:type="dxa"/>
            <w:vAlign w:val="bottom"/>
            <w:tcBorders>
              <w:right w:val="single" w:sz="8" w:color="auto"/>
            </w:tcBorders>
            <w:vMerge w:val="restart"/>
          </w:tcPr>
          <w:p>
            <w:pPr>
              <w:jc w:val="right"/>
              <w:ind w:right="579"/>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144,978</w:t>
            </w:r>
          </w:p>
        </w:tc>
        <w:tc>
          <w:tcPr>
            <w:tcW w:w="0" w:type="dxa"/>
            <w:vAlign w:val="bottom"/>
          </w:tcPr>
          <w:p>
            <w:pPr>
              <w:spacing w:after="0"/>
              <w:rPr>
                <w:sz w:val="1"/>
                <w:szCs w:val="1"/>
                <w:color w:val="auto"/>
              </w:rPr>
            </w:pPr>
          </w:p>
        </w:tc>
      </w:tr>
      <w:tr>
        <w:trPr>
          <w:trHeight w:val="107"/>
        </w:trPr>
        <w:tc>
          <w:tcPr>
            <w:tcW w:w="16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rPr>
              <w:t>Madden</w:t>
            </w:r>
          </w:p>
        </w:tc>
        <w:tc>
          <w:tcPr>
            <w:tcW w:w="2040" w:type="dxa"/>
            <w:vAlign w:val="bottom"/>
            <w:tcBorders>
              <w:right w:val="single" w:sz="8" w:color="auto"/>
            </w:tcBorders>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80" w:type="dxa"/>
            <w:vAlign w:val="bottom"/>
            <w:tcBorders>
              <w:left w:val="single" w:sz="8" w:color="auto"/>
              <w:right w:val="single" w:sz="8" w:color="auto"/>
            </w:tcBorders>
            <w:vMerge w:val="continue"/>
          </w:tcPr>
          <w:p>
            <w:pPr>
              <w:spacing w:after="0"/>
              <w:rPr>
                <w:sz w:val="9"/>
                <w:szCs w:val="9"/>
                <w:color w:val="auto"/>
              </w:rPr>
            </w:pPr>
          </w:p>
        </w:tc>
        <w:tc>
          <w:tcPr>
            <w:tcW w:w="2040" w:type="dxa"/>
            <w:vAlign w:val="bottom"/>
            <w:tcBorders>
              <w:right w:val="single" w:sz="8" w:color="auto"/>
            </w:tcBorders>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1680" w:type="dxa"/>
            <w:vAlign w:val="bottom"/>
            <w:tcBorders>
              <w:left w:val="single" w:sz="8" w:color="auto"/>
              <w:bottom w:val="single" w:sz="8" w:color="auto"/>
              <w:right w:val="single" w:sz="8" w:color="auto"/>
            </w:tcBorders>
          </w:tcPr>
          <w:p>
            <w:pPr>
              <w:spacing w:after="0"/>
              <w:rPr>
                <w:sz w:val="15"/>
                <w:szCs w:val="15"/>
                <w:color w:val="auto"/>
              </w:rPr>
            </w:pPr>
          </w:p>
        </w:tc>
        <w:tc>
          <w:tcPr>
            <w:tcW w:w="204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40"/>
        <w:spacing w:after="0"/>
        <w:rPr>
          <w:sz w:val="20"/>
          <w:szCs w:val="20"/>
          <w:color w:val="auto"/>
        </w:rPr>
      </w:pPr>
      <w:r>
        <w:rPr>
          <w:rFonts w:ascii="Arial" w:cs="Arial" w:eastAsia="Arial" w:hAnsi="Arial"/>
          <w:sz w:val="14"/>
          <w:szCs w:val="14"/>
          <w:u w:val="single" w:color="auto"/>
          <w:color w:val="0563C1"/>
        </w:rPr>
        <w:t xml:space="preserve">Table of Contents </w:t>
      </w:r>
      <w:r>
        <w:rPr>
          <w:rFonts w:ascii="Arial" w:cs="Arial" w:eastAsia="Arial" w:hAnsi="Arial"/>
          <w:sz w:val="14"/>
          <w:szCs w:val="14"/>
          <w:u w:val="single" w:color="auto"/>
          <w:color w:val="000000"/>
        </w:rPr>
        <w:t>3</w:t>
      </w:r>
    </w:p>
    <w:p>
      <w:pPr>
        <w:sectPr>
          <w:pgSz w:w="11900" w:h="16838" w:orient="portrait"/>
          <w:cols w:equalWidth="0" w:num="1">
            <w:col w:w="11260"/>
          </w:cols>
          <w:pgMar w:left="320" w:top="1020" w:right="319" w:bottom="1440" w:gutter="0" w:footer="0" w:header="0"/>
        </w:sectPr>
      </w:pPr>
    </w:p>
    <w:bookmarkStart w:id="7" w:name="page8"/>
    <w:bookmarkEnd w:id="7"/>
    <w:p>
      <w:pPr>
        <w:ind w:left="2340"/>
        <w:spacing w:after="0"/>
        <w:rPr>
          <w:sz w:val="20"/>
          <w:szCs w:val="20"/>
          <w:color w:val="auto"/>
        </w:rPr>
      </w:pPr>
      <w:r>
        <w:rPr>
          <w:rFonts w:ascii="Arial" w:cs="Arial" w:eastAsia="Arial" w:hAnsi="Arial"/>
          <w:sz w:val="36"/>
          <w:szCs w:val="36"/>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445770" cy="445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445770" cy="445770"/>
                    </a:xfrm>
                    <a:prstGeom prst="rect">
                      <a:avLst/>
                    </a:prstGeom>
                    <a:noFill/>
                  </pic:spPr>
                </pic:pic>
              </a:graphicData>
            </a:graphic>
          </wp:anchor>
        </w:drawing>
        <w:t>10b5-1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40"/>
        <w:spacing w:after="0"/>
        <w:rPr>
          <w:sz w:val="20"/>
          <w:szCs w:val="20"/>
          <w:color w:val="auto"/>
        </w:rPr>
      </w:pPr>
      <w:r>
        <w:rPr>
          <w:rFonts w:ascii="Arial" w:cs="Arial" w:eastAsia="Arial" w:hAnsi="Arial"/>
          <w:sz w:val="22"/>
          <w:szCs w:val="22"/>
          <w:b w:val="1"/>
          <w:bCs w:val="1"/>
          <w:u w:val="single" w:color="auto"/>
          <w:color w:val="auto"/>
        </w:rPr>
        <w:t>SECTION III</w:t>
      </w:r>
    </w:p>
    <w:p>
      <w:pPr>
        <w:spacing w:after="0" w:line="174" w:lineRule="exact"/>
        <w:rPr>
          <w:sz w:val="20"/>
          <w:szCs w:val="20"/>
          <w:color w:val="auto"/>
        </w:rPr>
      </w:pPr>
    </w:p>
    <w:p>
      <w:pPr>
        <w:ind w:left="3600"/>
        <w:spacing w:after="0"/>
        <w:rPr>
          <w:sz w:val="20"/>
          <w:szCs w:val="20"/>
          <w:color w:val="auto"/>
        </w:rPr>
      </w:pPr>
      <w:r>
        <w:rPr>
          <w:rFonts w:ascii="Arial" w:cs="Arial" w:eastAsia="Arial" w:hAnsi="Arial"/>
          <w:sz w:val="23"/>
          <w:szCs w:val="23"/>
          <w:b w:val="1"/>
          <w:bCs w:val="1"/>
          <w:color w:val="auto"/>
        </w:rPr>
        <w:t>Share Trading Instructions</w:t>
      </w:r>
    </w:p>
    <w:p>
      <w:pPr>
        <w:spacing w:after="0" w:line="394" w:lineRule="exact"/>
        <w:rPr>
          <w:sz w:val="20"/>
          <w:szCs w:val="20"/>
          <w:color w:val="auto"/>
        </w:rPr>
      </w:pPr>
    </w:p>
    <w:p>
      <w:pPr>
        <w:ind w:left="3680" w:right="20" w:hanging="1972"/>
        <w:spacing w:after="0" w:line="214" w:lineRule="exact"/>
        <w:tabs>
          <w:tab w:leader="none" w:pos="3660" w:val="left"/>
        </w:tabs>
        <w:rPr>
          <w:sz w:val="20"/>
          <w:szCs w:val="20"/>
          <w:color w:val="auto"/>
        </w:rPr>
      </w:pPr>
      <w:r>
        <w:rPr>
          <w:rFonts w:ascii="Arial" w:cs="Arial" w:eastAsia="Arial" w:hAnsi="Arial"/>
          <w:sz w:val="16"/>
          <w:szCs w:val="16"/>
          <w:color w:val="auto"/>
        </w:rPr>
        <w:t>Cooling Off Period:</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Later of (i) 90 days after adoption of the Plan; or (ii) two business days following the</w:t>
      </w:r>
      <w:r>
        <w:rPr>
          <w:rFonts w:ascii="MS PGothic" w:cs="MS PGothic" w:eastAsia="MS PGothic" w:hAnsi="MS PGothic"/>
          <w:sz w:val="16"/>
          <w:szCs w:val="16"/>
          <w:color w:val="auto"/>
        </w:rPr>
        <w:t xml:space="preserve"> </w:t>
      </w:r>
      <w:r>
        <w:rPr>
          <w:rFonts w:ascii="Arial" w:cs="Arial" w:eastAsia="Arial" w:hAnsi="Arial"/>
          <w:sz w:val="16"/>
          <w:szCs w:val="16"/>
          <w:color w:val="auto"/>
        </w:rPr>
        <w:t>disclosure of the Issuer’s financial results in a Form 10-Q, Form 10-K, Form 20-F, or Form 6-K that discloses the Issuer’s financial results for the completed fiscal quarter in which the Plan was adopted (but, in any event, subject to a maximum of 120 days after adoption of the Plan)</w:t>
      </w:r>
    </w:p>
    <w:p>
      <w:pPr>
        <w:spacing w:after="0" w:line="206" w:lineRule="exact"/>
        <w:rPr>
          <w:sz w:val="20"/>
          <w:szCs w:val="20"/>
          <w:color w:val="auto"/>
        </w:rPr>
      </w:pPr>
    </w:p>
    <w:p>
      <w:pPr>
        <w:ind w:left="4160" w:hanging="291"/>
        <w:spacing w:after="0"/>
        <w:tabs>
          <w:tab w:leader="none" w:pos="4160" w:val="left"/>
        </w:tabs>
        <w:numPr>
          <w:ilvl w:val="0"/>
          <w:numId w:val="13"/>
        </w:numPr>
        <w:rPr>
          <w:rFonts w:ascii="MS PGothic" w:cs="MS PGothic" w:eastAsia="MS PGothic" w:hAnsi="MS PGothic"/>
          <w:sz w:val="16"/>
          <w:szCs w:val="16"/>
          <w:color w:val="auto"/>
        </w:rPr>
      </w:pPr>
      <w:r>
        <w:rPr>
          <w:rFonts w:ascii="Arial" w:cs="Arial" w:eastAsia="Arial" w:hAnsi="Arial"/>
          <w:sz w:val="16"/>
          <w:szCs w:val="16"/>
          <w:color w:val="auto"/>
        </w:rPr>
        <w:t>30 days after the adoption of the Plan</w:t>
      </w:r>
    </w:p>
    <w:p>
      <w:pPr>
        <w:spacing w:after="0" w:line="307" w:lineRule="exact"/>
        <w:rPr>
          <w:sz w:val="20"/>
          <w:szCs w:val="20"/>
          <w:color w:val="auto"/>
        </w:rPr>
      </w:pPr>
    </w:p>
    <w:p>
      <w:pPr>
        <w:ind w:left="2400"/>
        <w:spacing w:after="0" w:line="184" w:lineRule="exact"/>
        <w:tabs>
          <w:tab w:leader="none" w:pos="3660" w:val="left"/>
          <w:tab w:leader="none" w:pos="4140" w:val="left"/>
        </w:tabs>
        <w:rPr>
          <w:sz w:val="20"/>
          <w:szCs w:val="20"/>
          <w:color w:val="auto"/>
        </w:rPr>
      </w:pPr>
      <w:r>
        <w:rPr>
          <w:rFonts w:ascii="Arial" w:cs="Arial" w:eastAsia="Arial" w:hAnsi="Arial"/>
          <w:sz w:val="16"/>
          <w:szCs w:val="16"/>
          <w:color w:val="auto"/>
        </w:rPr>
        <w:t>Daily Maximum:</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 shares</w:t>
      </w:r>
    </w:p>
    <w:p>
      <w:pPr>
        <w:spacing w:after="0" w:line="95" w:lineRule="exact"/>
        <w:rPr>
          <w:sz w:val="20"/>
          <w:szCs w:val="20"/>
          <w:color w:val="auto"/>
        </w:rPr>
      </w:pPr>
    </w:p>
    <w:p>
      <w:pPr>
        <w:ind w:left="4160" w:hanging="480"/>
        <w:spacing w:after="0"/>
        <w:tabs>
          <w:tab w:leader="none" w:pos="4160" w:val="left"/>
        </w:tabs>
        <w:numPr>
          <w:ilvl w:val="0"/>
          <w:numId w:val="14"/>
        </w:numPr>
        <w:rPr>
          <w:rFonts w:ascii="MS PGothic" w:cs="MS PGothic" w:eastAsia="MS PGothic" w:hAnsi="MS PGothic"/>
          <w:sz w:val="16"/>
          <w:szCs w:val="16"/>
          <w:color w:val="auto"/>
        </w:rPr>
      </w:pPr>
      <w:r>
        <w:rPr>
          <w:rFonts w:ascii="Arial" w:cs="Arial" w:eastAsia="Arial" w:hAnsi="Arial"/>
          <w:sz w:val="16"/>
          <w:szCs w:val="16"/>
          <w:color w:val="auto"/>
        </w:rPr>
        <w:t xml:space="preserve">[ 10 % ] of volume for </w:t>
      </w:r>
      <w:r>
        <w:rPr>
          <w:rFonts w:ascii="Arial" w:cs="Arial" w:eastAsia="Arial" w:hAnsi="Arial"/>
          <w:sz w:val="16"/>
          <w:szCs w:val="16"/>
          <w:u w:val="single" w:color="auto"/>
          <w:color w:val="auto"/>
        </w:rPr>
        <w:t>each</w:t>
      </w:r>
      <w:r>
        <w:rPr>
          <w:rFonts w:ascii="Arial" w:cs="Arial" w:eastAsia="Arial" w:hAnsi="Arial"/>
          <w:sz w:val="16"/>
          <w:szCs w:val="16"/>
          <w:color w:val="auto"/>
        </w:rPr>
        <w:t xml:space="preserve"> limit</w:t>
      </w:r>
    </w:p>
    <w:p>
      <w:pPr>
        <w:spacing w:after="0" w:line="347" w:lineRule="exact"/>
        <w:rPr>
          <w:sz w:val="20"/>
          <w:szCs w:val="20"/>
          <w:color w:val="auto"/>
        </w:rPr>
      </w:pPr>
    </w:p>
    <w:p>
      <w:pPr>
        <w:ind w:left="2360"/>
        <w:spacing w:after="0" w:line="184" w:lineRule="exact"/>
        <w:tabs>
          <w:tab w:leader="none" w:pos="3660" w:val="left"/>
          <w:tab w:leader="none" w:pos="4140" w:val="left"/>
        </w:tabs>
        <w:rPr>
          <w:sz w:val="20"/>
          <w:szCs w:val="20"/>
          <w:color w:val="auto"/>
        </w:rPr>
      </w:pPr>
      <w:r>
        <w:rPr>
          <w:rFonts w:ascii="Arial" w:cs="Arial" w:eastAsia="Arial" w:hAnsi="Arial"/>
          <w:sz w:val="16"/>
          <w:szCs w:val="16"/>
          <w:color w:val="auto"/>
        </w:rPr>
        <w:t>Trade Algorithm:</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Volume weighted average price (VWAP)</w:t>
      </w:r>
    </w:p>
    <w:p>
      <w:pPr>
        <w:spacing w:after="0" w:line="95" w:lineRule="exact"/>
        <w:rPr>
          <w:sz w:val="20"/>
          <w:szCs w:val="20"/>
          <w:color w:val="auto"/>
        </w:rPr>
      </w:pPr>
    </w:p>
    <w:p>
      <w:pPr>
        <w:ind w:left="4160" w:hanging="480"/>
        <w:spacing w:after="0"/>
        <w:tabs>
          <w:tab w:leader="none" w:pos="4160" w:val="left"/>
        </w:tabs>
        <w:numPr>
          <w:ilvl w:val="0"/>
          <w:numId w:val="15"/>
        </w:numPr>
        <w:rPr>
          <w:rFonts w:ascii="MS PGothic" w:cs="MS PGothic" w:eastAsia="MS PGothic" w:hAnsi="MS PGothic"/>
          <w:sz w:val="16"/>
          <w:szCs w:val="16"/>
          <w:color w:val="auto"/>
        </w:rPr>
      </w:pPr>
      <w:r>
        <w:rPr>
          <w:rFonts w:ascii="Arial" w:cs="Arial" w:eastAsia="Arial" w:hAnsi="Arial"/>
          <w:sz w:val="16"/>
          <w:szCs w:val="16"/>
          <w:color w:val="auto"/>
        </w:rPr>
        <w:t>Time weighted average price (TWAP)</w:t>
      </w:r>
    </w:p>
    <w:p>
      <w:pPr>
        <w:spacing w:after="0" w:line="59" w:lineRule="exact"/>
        <w:rPr>
          <w:sz w:val="20"/>
          <w:szCs w:val="20"/>
          <w:color w:val="auto"/>
        </w:rPr>
      </w:pPr>
    </w:p>
    <w:p>
      <w:pPr>
        <w:ind w:left="4160" w:hanging="480"/>
        <w:spacing w:after="0"/>
        <w:tabs>
          <w:tab w:leader="none" w:pos="4160" w:val="left"/>
        </w:tabs>
        <w:numPr>
          <w:ilvl w:val="0"/>
          <w:numId w:val="16"/>
        </w:numPr>
        <w:rPr>
          <w:rFonts w:ascii="MS PGothic" w:cs="MS PGothic" w:eastAsia="MS PGothic" w:hAnsi="MS PGothic"/>
          <w:sz w:val="16"/>
          <w:szCs w:val="16"/>
          <w:color w:val="auto"/>
        </w:rPr>
      </w:pPr>
      <w:r>
        <w:rPr>
          <w:rFonts w:ascii="Arial" w:cs="Arial" w:eastAsia="Arial" w:hAnsi="Arial"/>
          <w:sz w:val="16"/>
          <w:szCs w:val="16"/>
          <w:color w:val="auto"/>
        </w:rPr>
        <w:t>Volume participation target of [ 10 % ] for each limit (Foxtrot)</w:t>
      </w:r>
    </w:p>
    <w:p>
      <w:pPr>
        <w:spacing w:after="0" w:line="200" w:lineRule="exact"/>
        <w:rPr>
          <w:sz w:val="20"/>
          <w:szCs w:val="20"/>
          <w:color w:val="auto"/>
        </w:rPr>
      </w:pPr>
    </w:p>
    <w:p>
      <w:pPr>
        <w:spacing w:after="0" w:line="228" w:lineRule="exact"/>
        <w:rPr>
          <w:sz w:val="20"/>
          <w:szCs w:val="20"/>
          <w:color w:val="auto"/>
        </w:rPr>
      </w:pPr>
    </w:p>
    <w:p>
      <w:pPr>
        <w:ind w:left="3680" w:right="320" w:hanging="1444"/>
        <w:spacing w:after="0" w:line="227" w:lineRule="exact"/>
        <w:tabs>
          <w:tab w:leader="none" w:pos="3660" w:val="left"/>
        </w:tabs>
        <w:rPr>
          <w:sz w:val="20"/>
          <w:szCs w:val="20"/>
          <w:color w:val="auto"/>
        </w:rPr>
      </w:pPr>
      <w:r>
        <w:rPr>
          <w:rFonts w:ascii="Arial" w:cs="Arial" w:eastAsia="Arial" w:hAnsi="Arial"/>
          <w:sz w:val="16"/>
          <w:szCs w:val="16"/>
          <w:color w:val="auto"/>
        </w:rPr>
        <w:t>Carry Over: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Following an Order End Date. Shares that remain unsold from an Order Number shall</w:t>
      </w:r>
      <w:r>
        <w:rPr>
          <w:rFonts w:ascii="MS PGothic" w:cs="MS PGothic" w:eastAsia="MS PGothic" w:hAnsi="MS PGothic"/>
          <w:sz w:val="16"/>
          <w:szCs w:val="16"/>
          <w:color w:val="auto"/>
        </w:rPr>
        <w:t xml:space="preserve"> </w:t>
      </w:r>
      <w:r>
        <w:rPr>
          <w:rFonts w:ascii="Arial" w:cs="Arial" w:eastAsia="Arial" w:hAnsi="Arial"/>
          <w:sz w:val="16"/>
          <w:szCs w:val="16"/>
          <w:color w:val="auto"/>
        </w:rPr>
        <w:t>carry forward to the next Order Entry Date at their original limit prices</w:t>
      </w:r>
    </w:p>
    <w:p>
      <w:pPr>
        <w:spacing w:after="0" w:line="56" w:lineRule="exact"/>
        <w:rPr>
          <w:sz w:val="20"/>
          <w:szCs w:val="20"/>
          <w:color w:val="auto"/>
        </w:rPr>
      </w:pPr>
    </w:p>
    <w:p>
      <w:pPr>
        <w:ind w:left="4160" w:right="320" w:hanging="480"/>
        <w:spacing w:after="0" w:line="304" w:lineRule="auto"/>
        <w:tabs>
          <w:tab w:leader="none" w:pos="4160" w:val="left"/>
        </w:tabs>
        <w:numPr>
          <w:ilvl w:val="0"/>
          <w:numId w:val="17"/>
        </w:numPr>
        <w:rPr>
          <w:rFonts w:ascii="MS PGothic" w:cs="MS PGothic" w:eastAsia="MS PGothic" w:hAnsi="MS PGothic"/>
          <w:sz w:val="16"/>
          <w:szCs w:val="16"/>
          <w:color w:val="auto"/>
        </w:rPr>
      </w:pPr>
      <w:r>
        <w:rPr>
          <w:rFonts w:ascii="Arial" w:cs="Arial" w:eastAsia="Arial" w:hAnsi="Arial"/>
          <w:sz w:val="16"/>
          <w:szCs w:val="16"/>
          <w:color w:val="auto"/>
        </w:rPr>
        <w:t>Following an Order End Date. Shares that remain unsold from an Order Number shall NOT carry forward to the next Order Entry Date</w:t>
      </w:r>
    </w:p>
    <w:p>
      <w:pPr>
        <w:spacing w:after="0" w:line="254" w:lineRule="exact"/>
        <w:rPr>
          <w:sz w:val="20"/>
          <w:szCs w:val="20"/>
          <w:color w:val="auto"/>
        </w:rPr>
      </w:pPr>
    </w:p>
    <w:p>
      <w:pPr>
        <w:ind w:left="3680" w:right="180" w:hanging="2237"/>
        <w:spacing w:after="0" w:line="227" w:lineRule="exact"/>
        <w:tabs>
          <w:tab w:leader="none" w:pos="3660" w:val="left"/>
        </w:tabs>
        <w:rPr>
          <w:sz w:val="20"/>
          <w:szCs w:val="20"/>
          <w:color w:val="auto"/>
        </w:rPr>
      </w:pPr>
      <w:r>
        <w:rPr>
          <w:rFonts w:ascii="Arial" w:cs="Arial" w:eastAsia="Arial" w:hAnsi="Arial"/>
          <w:sz w:val="16"/>
          <w:szCs w:val="16"/>
          <w:color w:val="auto"/>
        </w:rPr>
        <w:t>Additional Instructions: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Sales of shares effected at a price for which more than one limit price is applicable shall</w:t>
      </w:r>
      <w:r>
        <w:rPr>
          <w:rFonts w:ascii="MS PGothic" w:cs="MS PGothic" w:eastAsia="MS PGothic" w:hAnsi="MS PGothic"/>
          <w:sz w:val="16"/>
          <w:szCs w:val="16"/>
          <w:color w:val="auto"/>
        </w:rPr>
        <w:t xml:space="preserve"> </w:t>
      </w:r>
      <w:r>
        <w:rPr>
          <w:rFonts w:ascii="Arial" w:cs="Arial" w:eastAsia="Arial" w:hAnsi="Arial"/>
          <w:sz w:val="16"/>
          <w:szCs w:val="16"/>
          <w:color w:val="auto"/>
        </w:rPr>
        <w:t>be first allocated to the highest of such limit prices</w:t>
      </w:r>
    </w:p>
    <w:p>
      <w:pPr>
        <w:spacing w:after="0" w:line="56" w:lineRule="exact"/>
        <w:rPr>
          <w:sz w:val="20"/>
          <w:szCs w:val="20"/>
          <w:color w:val="auto"/>
        </w:rPr>
      </w:pPr>
    </w:p>
    <w:p>
      <w:pPr>
        <w:ind w:left="4160" w:hanging="480"/>
        <w:spacing w:after="0" w:line="262" w:lineRule="auto"/>
        <w:tabs>
          <w:tab w:leader="none" w:pos="4160" w:val="left"/>
        </w:tabs>
        <w:numPr>
          <w:ilvl w:val="0"/>
          <w:numId w:val="18"/>
        </w:numPr>
        <w:rPr>
          <w:rFonts w:ascii="MS PGothic" w:cs="MS PGothic" w:eastAsia="MS PGothic" w:hAnsi="MS PGothic"/>
          <w:sz w:val="16"/>
          <w:szCs w:val="16"/>
          <w:color w:val="auto"/>
        </w:rPr>
      </w:pPr>
      <w:r>
        <w:rPr>
          <w:rFonts w:ascii="Arial" w:cs="Arial" w:eastAsia="Arial" w:hAnsi="Arial"/>
          <w:sz w:val="16"/>
          <w:szCs w:val="16"/>
          <w:color w:val="auto"/>
        </w:rPr>
        <w:t xml:space="preserve">Notwithstanding the specified number of shares to be sold, Broker will use commercially reasonable efforts to sell, on any trading day outlined in the table(s) below, a number of shares that is approximately </w:t>
      </w:r>
      <w:r>
        <w:rPr>
          <w:rFonts w:ascii="Arial" w:cs="Arial" w:eastAsia="Arial" w:hAnsi="Arial"/>
          <w:sz w:val="16"/>
          <w:szCs w:val="16"/>
          <w:b w:val="1"/>
          <w:bCs w:val="1"/>
          <w:color w:val="auto"/>
        </w:rPr>
        <w:t>10%</w:t>
      </w:r>
      <w:r>
        <w:rPr>
          <w:rFonts w:ascii="Arial" w:cs="Arial" w:eastAsia="Arial" w:hAnsi="Arial"/>
          <w:sz w:val="16"/>
          <w:szCs w:val="16"/>
          <w:color w:val="auto"/>
        </w:rPr>
        <w:t xml:space="preserve"> of the reported daily trading volume on such trading day for each limit (the “Trading Volume Requirement”). Client acknowledges and agrees that any failure by Broker to adhere to the Trading Volume Requirement shall not affect the validity of any sales and such sales shall be deemed to be in accordance with the terms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563C1"/>
        </w:rPr>
        <w:t xml:space="preserve">Table of Contents </w:t>
      </w:r>
      <w:r>
        <w:rPr>
          <w:rFonts w:ascii="Arial" w:cs="Arial" w:eastAsia="Arial" w:hAnsi="Arial"/>
          <w:sz w:val="14"/>
          <w:szCs w:val="14"/>
          <w:u w:val="single" w:color="auto"/>
          <w:color w:val="000000"/>
        </w:rPr>
        <w:t>4</w:t>
      </w:r>
    </w:p>
    <w:p>
      <w:pPr>
        <w:sectPr>
          <w:pgSz w:w="11900" w:h="16838" w:orient="portrait"/>
          <w:cols w:equalWidth="0" w:num="1">
            <w:col w:w="10600"/>
          </w:cols>
          <w:pgMar w:left="860" w:top="1020" w:right="439" w:bottom="1440" w:gutter="0" w:footer="0" w:header="0"/>
        </w:sectPr>
      </w:pPr>
    </w:p>
    <w:bookmarkStart w:id="8" w:name="page9"/>
    <w:bookmarkEnd w:id="8"/>
    <w:p>
      <w:pPr>
        <w:ind w:left="2880"/>
        <w:spacing w:after="0"/>
        <w:rPr>
          <w:sz w:val="20"/>
          <w:szCs w:val="20"/>
          <w:color w:val="auto"/>
        </w:rPr>
      </w:pPr>
      <w:r>
        <w:rPr>
          <w:rFonts w:ascii="Arial" w:cs="Arial" w:eastAsia="Arial" w:hAnsi="Arial"/>
          <w:sz w:val="36"/>
          <w:szCs w:val="36"/>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445770" cy="4457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445770" cy="445770"/>
                    </a:xfrm>
                    <a:prstGeom prst="rect">
                      <a:avLst/>
                    </a:prstGeom>
                    <a:noFill/>
                  </pic:spPr>
                </pic:pic>
              </a:graphicData>
            </a:graphic>
          </wp:anchor>
        </w:drawing>
        <w:t>10b5-1 Plan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SECTION IV</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3"/>
          <w:szCs w:val="23"/>
          <w:b w:val="1"/>
          <w:bCs w:val="1"/>
          <w:color w:val="auto"/>
        </w:rPr>
        <w:t>Notices, Signatures and Acknowledgements</w:t>
      </w:r>
    </w:p>
    <w:p>
      <w:pPr>
        <w:spacing w:after="0" w:line="59"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i w:val="1"/>
          <w:iCs w:val="1"/>
          <w:color w:val="auto"/>
        </w:rPr>
        <w:t>CLIENT</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Notices</w:t>
      </w:r>
    </w:p>
    <w:p>
      <w:pPr>
        <w:spacing w:after="0" w:line="15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All notices under the Plan shall be provided in writing (including email) as follows, provided each of the Issuer and Client agrees not to communicate material non-public information in such notice if delivered via email.</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All notices to Client under the Plan shall be provided to:</w:t>
      </w:r>
    </w:p>
    <w:p>
      <w:pPr>
        <w:spacing w:after="0" w:line="148" w:lineRule="exact"/>
        <w:rPr>
          <w:sz w:val="20"/>
          <w:szCs w:val="20"/>
          <w:color w:val="auto"/>
        </w:rPr>
      </w:pPr>
    </w:p>
    <w:tbl>
      <w:tblPr>
        <w:tblLayout w:type="fixed"/>
        <w:tblInd w:w="1570" w:type="dxa"/>
        <w:tblCellMar>
          <w:top w:w="0" w:type="dxa"/>
          <w:left w:w="0" w:type="dxa"/>
          <w:bottom w:w="0" w:type="dxa"/>
          <w:right w:w="0" w:type="dxa"/>
        </w:tblCellMar>
      </w:tblPr>
      <w:tr>
        <w:trPr>
          <w:trHeight w:val="249"/>
        </w:trPr>
        <w:tc>
          <w:tcPr>
            <w:tcW w:w="12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Organization</w:t>
            </w:r>
          </w:p>
        </w:tc>
        <w:tc>
          <w:tcPr>
            <w:tcW w:w="5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rPr>
              <w:t>Title</w:t>
            </w:r>
          </w:p>
        </w:tc>
        <w:tc>
          <w:tcPr>
            <w:tcW w:w="1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Email</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Telephone</w:t>
            </w:r>
          </w:p>
        </w:tc>
      </w:tr>
      <w:tr>
        <w:trPr>
          <w:trHeight w:val="169"/>
        </w:trPr>
        <w:tc>
          <w:tcPr>
            <w:tcW w:w="1200" w:type="dxa"/>
            <w:vAlign w:val="bottom"/>
            <w:tcBorders>
              <w:left w:val="single" w:sz="8" w:color="auto"/>
              <w:bottom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1300" w:type="dxa"/>
            <w:vAlign w:val="bottom"/>
            <w:tcBorders>
              <w:bottom w:val="single" w:sz="8" w:color="auto"/>
              <w:right w:val="single" w:sz="8" w:color="auto"/>
            </w:tcBorders>
          </w:tcPr>
          <w:p>
            <w:pPr>
              <w:spacing w:after="0"/>
              <w:rPr>
                <w:sz w:val="14"/>
                <w:szCs w:val="14"/>
                <w:color w:val="auto"/>
              </w:rPr>
            </w:pPr>
          </w:p>
        </w:tc>
      </w:tr>
      <w:tr>
        <w:trPr>
          <w:trHeight w:val="221"/>
        </w:trPr>
        <w:tc>
          <w:tcPr>
            <w:tcW w:w="1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Larry Madden</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Viant Technology Inc</w:t>
            </w:r>
          </w:p>
        </w:tc>
        <w:tc>
          <w:tcPr>
            <w:tcW w:w="5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CFO</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lmadden@viantinc.com</w:t>
            </w:r>
          </w:p>
        </w:tc>
        <w:tc>
          <w:tcPr>
            <w:tcW w:w="13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(949) 861-8899</w:t>
            </w:r>
          </w:p>
        </w:tc>
      </w:tr>
      <w:tr>
        <w:trPr>
          <w:trHeight w:val="178"/>
        </w:trPr>
        <w:tc>
          <w:tcPr>
            <w:tcW w:w="1200" w:type="dxa"/>
            <w:vAlign w:val="bottom"/>
            <w:tcBorders>
              <w:left w:val="single" w:sz="8" w:color="auto"/>
              <w:bottom w:val="single" w:sz="8" w:color="auto"/>
              <w:right w:val="single" w:sz="8" w:color="auto"/>
            </w:tcBorders>
          </w:tcPr>
          <w:p>
            <w:pPr>
              <w:spacing w:after="0"/>
              <w:rPr>
                <w:sz w:val="15"/>
                <w:szCs w:val="15"/>
                <w:color w:val="auto"/>
              </w:rPr>
            </w:pPr>
          </w:p>
        </w:tc>
        <w:tc>
          <w:tcPr>
            <w:tcW w:w="1700" w:type="dxa"/>
            <w:vAlign w:val="bottom"/>
            <w:tcBorders>
              <w:bottom w:val="single" w:sz="8" w:color="auto"/>
              <w:right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c>
          <w:tcPr>
            <w:tcW w:w="130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undersigned have executed this Plan as of the date written by Client below.</w:t>
      </w:r>
    </w:p>
    <w:p>
      <w:pPr>
        <w:spacing w:after="0" w:line="127"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By signing the Plan, Client confirms that Client has read and understands all terms and conditions of the Plan, inclusive of the applicable Sections and Annexes, and agrees to be bound by such terms and conditions, and gives all the applicable representations, warranties and covenants contained herein.</w:t>
      </w:r>
    </w:p>
    <w:p>
      <w:pPr>
        <w:sectPr>
          <w:pgSz w:w="11900" w:h="16838" w:orient="portrait"/>
          <w:cols w:equalWidth="0" w:num="1">
            <w:col w:w="11220"/>
          </w:cols>
          <w:pgMar w:left="320" w:top="1020" w:right="359" w:bottom="1440" w:gutter="0" w:footer="0" w:header="0"/>
        </w:sectPr>
      </w:pP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Client acknowledges and agrees that Issuer is not a party to the Plan.</w:t>
      </w:r>
    </w:p>
    <w:p>
      <w:pPr>
        <w:spacing w:after="0" w:line="104" w:lineRule="exact"/>
        <w:rPr>
          <w:sz w:val="20"/>
          <w:szCs w:val="20"/>
          <w:color w:val="auto"/>
        </w:rPr>
      </w:pPr>
    </w:p>
    <w:p>
      <w:pPr>
        <w:jc w:val="center"/>
        <w:ind w:right="4480"/>
        <w:spacing w:after="0"/>
        <w:rPr>
          <w:sz w:val="20"/>
          <w:szCs w:val="20"/>
          <w:color w:val="auto"/>
        </w:rPr>
      </w:pPr>
      <w:r>
        <w:rPr>
          <w:rFonts w:ascii="Arial" w:cs="Arial" w:eastAsia="Arial" w:hAnsi="Arial"/>
          <w:sz w:val="19"/>
          <w:szCs w:val="19"/>
          <w:b w:val="1"/>
          <w:bCs w:val="1"/>
          <w:color w:val="auto"/>
        </w:rPr>
        <w:t>CLIENT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368675" cy="7543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8675" cy="754380"/>
                    </a:xfrm>
                    <a:prstGeom prst="rect">
                      <a:avLst/>
                    </a:prstGeom>
                    <a:noFill/>
                  </pic:spPr>
                </pic:pic>
              </a:graphicData>
            </a:graphic>
          </wp:anchor>
        </w:drawing>
      </w:r>
    </w:p>
    <w:p>
      <w:pPr>
        <w:spacing w:after="0" w:line="217" w:lineRule="exact"/>
        <w:rPr>
          <w:sz w:val="20"/>
          <w:szCs w:val="20"/>
          <w:color w:val="auto"/>
        </w:rPr>
      </w:pPr>
    </w:p>
    <w:p>
      <w:pPr>
        <w:ind w:left="80"/>
        <w:spacing w:after="0"/>
        <w:rPr>
          <w:sz w:val="20"/>
          <w:szCs w:val="20"/>
          <w:color w:val="auto"/>
        </w:rPr>
      </w:pPr>
      <w:r>
        <w:rPr>
          <w:rFonts w:ascii="Arial" w:cs="Arial" w:eastAsia="Arial" w:hAnsi="Arial"/>
          <w:sz w:val="16"/>
          <w:szCs w:val="16"/>
          <w:color w:val="auto"/>
        </w:rPr>
        <w:t>Signed:</w:t>
      </w:r>
    </w:p>
    <w:p>
      <w:pPr>
        <w:spacing w:after="0" w:line="383" w:lineRule="exact"/>
        <w:rPr>
          <w:sz w:val="20"/>
          <w:szCs w:val="20"/>
          <w:color w:val="auto"/>
        </w:rPr>
      </w:pPr>
    </w:p>
    <w:p>
      <w:pPr>
        <w:ind w:left="80" w:right="3700" w:firstLine="9"/>
        <w:spacing w:after="0" w:line="302" w:lineRule="auto"/>
        <w:tabs>
          <w:tab w:leader="none" w:pos="284" w:val="left"/>
        </w:tabs>
        <w:numPr>
          <w:ilvl w:val="0"/>
          <w:numId w:val="19"/>
        </w:numPr>
        <w:rPr>
          <w:rFonts w:ascii="Arial" w:cs="Arial" w:eastAsia="Arial" w:hAnsi="Arial"/>
          <w:sz w:val="22"/>
          <w:szCs w:val="22"/>
          <w:b w:val="1"/>
          <w:bCs w:val="1"/>
          <w:color w:val="auto"/>
        </w:rPr>
      </w:pPr>
      <w:r>
        <w:rPr>
          <w:rFonts w:ascii="Arial" w:cs="Arial" w:eastAsia="Arial" w:hAnsi="Arial"/>
          <w:sz w:val="16"/>
          <w:szCs w:val="16"/>
          <w:color w:val="auto"/>
        </w:rPr>
        <w:t>/s/ Larry Madden Title: N/A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Print Name: Larry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-124460</wp:posOffset>
            </wp:positionV>
            <wp:extent cx="3377565" cy="7543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7756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Date: 17-Jun-2026</w:t>
      </w:r>
    </w:p>
    <w:p>
      <w:pPr>
        <w:spacing w:after="0" w:line="255" w:lineRule="exact"/>
        <w:rPr>
          <w:sz w:val="20"/>
          <w:szCs w:val="20"/>
          <w:color w:val="auto"/>
        </w:rPr>
      </w:pPr>
    </w:p>
    <w:p>
      <w:pPr>
        <w:sectPr>
          <w:pgSz w:w="11900" w:h="16838" w:orient="portrait"/>
          <w:cols w:equalWidth="0" w:num="2">
            <w:col w:w="5200" w:space="720"/>
            <w:col w:w="5300"/>
          </w:cols>
          <w:pgMar w:left="320" w:top="1020" w:right="359" w:bottom="1440" w:gutter="0" w:footer="0" w:header="0"/>
          <w:type w:val="continuous"/>
        </w:sectPr>
      </w:pPr>
    </w:p>
    <w:p>
      <w:pPr>
        <w:spacing w:after="0" w:line="349" w:lineRule="exact"/>
        <w:rPr>
          <w:sz w:val="20"/>
          <w:szCs w:val="20"/>
          <w:color w:val="auto"/>
        </w:rPr>
      </w:pPr>
    </w:p>
    <w:p>
      <w:pPr>
        <w:ind w:left="540"/>
        <w:spacing w:after="0"/>
        <w:rPr>
          <w:sz w:val="20"/>
          <w:szCs w:val="20"/>
          <w:color w:val="auto"/>
        </w:rPr>
      </w:pPr>
      <w:r>
        <w:rPr>
          <w:rFonts w:ascii="Arial" w:cs="Arial" w:eastAsia="Arial" w:hAnsi="Arial"/>
          <w:sz w:val="14"/>
          <w:szCs w:val="14"/>
          <w:u w:val="single" w:color="auto"/>
          <w:color w:val="0563C1"/>
        </w:rPr>
        <w:t xml:space="preserve">Table of Contents </w:t>
      </w:r>
      <w:r>
        <w:rPr>
          <w:rFonts w:ascii="Arial" w:cs="Arial" w:eastAsia="Arial" w:hAnsi="Arial"/>
          <w:sz w:val="14"/>
          <w:szCs w:val="14"/>
          <w:u w:val="single" w:color="auto"/>
          <w:color w:val="000000"/>
        </w:rPr>
        <w:t>5</w:t>
      </w:r>
    </w:p>
    <w:p>
      <w:pPr>
        <w:sectPr>
          <w:pgSz w:w="11900" w:h="16838" w:orient="portrait"/>
          <w:cols w:equalWidth="0" w:num="1">
            <w:col w:w="11220"/>
          </w:cols>
          <w:pgMar w:left="320" w:top="1020" w:right="359" w:bottom="1440" w:gutter="0" w:footer="0" w:header="0"/>
          <w:type w:val="continuous"/>
        </w:sectPr>
      </w:pPr>
    </w:p>
    <w:bookmarkStart w:id="9" w:name="page10"/>
    <w:bookmarkEnd w:id="9"/>
    <w:p>
      <w:pPr>
        <w:ind w:left="2880"/>
        <w:spacing w:after="0"/>
        <w:rPr>
          <w:sz w:val="20"/>
          <w:szCs w:val="20"/>
          <w:color w:val="auto"/>
        </w:rPr>
      </w:pPr>
      <w:r>
        <w:rPr>
          <w:rFonts w:ascii="Arial" w:cs="Arial" w:eastAsia="Arial" w:hAnsi="Arial"/>
          <w:sz w:val="36"/>
          <w:szCs w:val="36"/>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445770" cy="4457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445770" cy="445770"/>
                    </a:xfrm>
                    <a:prstGeom prst="rect">
                      <a:avLst/>
                    </a:prstGeom>
                    <a:noFill/>
                  </pic:spPr>
                </pic:pic>
              </a:graphicData>
            </a:graphic>
          </wp:anchor>
        </w:drawing>
        <w:t>10b5-1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i w:val="1"/>
          <w:iCs w:val="1"/>
          <w:color w:val="auto"/>
        </w:rPr>
        <w:t>GS ENTITY</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Notices</w:t>
      </w:r>
    </w:p>
    <w:p>
      <w:pPr>
        <w:spacing w:after="0" w:line="1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All notices under the Plan shall be provided in writing (including email) as follows, provided each of the Issuer and Client agrees not to communicate material non-public information in such notice if delivered via email.</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All notices to GS Entity under the Plan shall be provided to:</w:t>
      </w:r>
    </w:p>
    <w:p>
      <w:pPr>
        <w:spacing w:after="0" w:line="134" w:lineRule="exact"/>
        <w:rPr>
          <w:sz w:val="20"/>
          <w:szCs w:val="20"/>
          <w:color w:val="auto"/>
        </w:rPr>
      </w:pPr>
    </w:p>
    <w:tbl>
      <w:tblPr>
        <w:tblLayout w:type="fixed"/>
        <w:tblInd w:w="2670" w:type="dxa"/>
        <w:tblCellMar>
          <w:top w:w="0" w:type="dxa"/>
          <w:left w:w="0" w:type="dxa"/>
          <w:bottom w:w="0" w:type="dxa"/>
          <w:right w:w="0" w:type="dxa"/>
        </w:tblCellMar>
      </w:tblPr>
      <w:tr>
        <w:trPr>
          <w:trHeight w:val="249"/>
        </w:trPr>
        <w:tc>
          <w:tcPr>
            <w:tcW w:w="12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w:t>
            </w: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Email</w:t>
            </w: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Telephone</w:t>
            </w:r>
          </w:p>
        </w:tc>
        <w:tc>
          <w:tcPr>
            <w:tcW w:w="0" w:type="dxa"/>
            <w:vAlign w:val="bottom"/>
          </w:tcPr>
          <w:p>
            <w:pPr>
              <w:spacing w:after="0"/>
              <w:rPr>
                <w:sz w:val="1"/>
                <w:szCs w:val="1"/>
                <w:color w:val="auto"/>
              </w:rPr>
            </w:pPr>
          </w:p>
        </w:tc>
      </w:tr>
      <w:tr>
        <w:trPr>
          <w:trHeight w:val="169"/>
        </w:trPr>
        <w:tc>
          <w:tcPr>
            <w:tcW w:w="1220" w:type="dxa"/>
            <w:vAlign w:val="bottom"/>
            <w:tcBorders>
              <w:left w:val="single" w:sz="8" w:color="auto"/>
              <w:bottom w:val="single" w:sz="8" w:color="auto"/>
              <w:right w:val="single" w:sz="8" w:color="auto"/>
            </w:tcBorders>
          </w:tcPr>
          <w:p>
            <w:pPr>
              <w:spacing w:after="0"/>
              <w:rPr>
                <w:sz w:val="14"/>
                <w:szCs w:val="14"/>
                <w:color w:val="auto"/>
              </w:rPr>
            </w:pPr>
          </w:p>
        </w:tc>
        <w:tc>
          <w:tcPr>
            <w:tcW w:w="180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10b5-1 Team</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eq-10b5-1@gs.com</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spacing w:after="0"/>
              <w:rPr>
                <w:sz w:val="15"/>
                <w:szCs w:val="15"/>
                <w:color w:val="auto"/>
              </w:rPr>
            </w:pPr>
          </w:p>
        </w:tc>
        <w:tc>
          <w:tcPr>
            <w:tcW w:w="18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8537 Rep</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wm-la-pcs-</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Team</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8537@gs.com</w:t>
            </w:r>
          </w:p>
        </w:tc>
        <w:tc>
          <w:tcPr>
            <w:tcW w:w="9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continue"/>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spacing w:after="0"/>
              <w:rPr>
                <w:sz w:val="15"/>
                <w:szCs w:val="15"/>
                <w:color w:val="auto"/>
              </w:rPr>
            </w:pPr>
          </w:p>
        </w:tc>
        <w:tc>
          <w:tcPr>
            <w:tcW w:w="18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undersigned have executed this Plan as of the date written by the Client.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GS Entity acknowledges and agrees that Issuer is not a party to the Plan.</w:t>
      </w:r>
    </w:p>
    <w:p>
      <w:pPr>
        <w:sectPr>
          <w:pgSz w:w="11900" w:h="16838" w:orient="portrait"/>
          <w:cols w:equalWidth="0" w:num="1">
            <w:col w:w="11220"/>
          </w:cols>
          <w:pgMar w:left="320" w:top="1020" w:right="3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GS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3402965" cy="7543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02965" cy="754380"/>
                    </a:xfrm>
                    <a:prstGeom prst="rect">
                      <a:avLst/>
                    </a:prstGeom>
                    <a:noFill/>
                  </pic:spPr>
                </pic:pic>
              </a:graphicData>
            </a:graphic>
          </wp:anchor>
        </w:drawing>
      </w:r>
    </w:p>
    <w:p>
      <w:pPr>
        <w:spacing w:after="0" w:line="205" w:lineRule="exact"/>
        <w:rPr>
          <w:sz w:val="20"/>
          <w:szCs w:val="20"/>
          <w:color w:val="auto"/>
        </w:rPr>
      </w:pPr>
    </w:p>
    <w:p>
      <w:pPr>
        <w:ind w:left="80"/>
        <w:spacing w:after="0"/>
        <w:rPr>
          <w:sz w:val="20"/>
          <w:szCs w:val="20"/>
          <w:color w:val="auto"/>
        </w:rPr>
      </w:pPr>
      <w:r>
        <w:rPr>
          <w:rFonts w:ascii="Arial" w:cs="Arial" w:eastAsia="Arial" w:hAnsi="Arial"/>
          <w:sz w:val="16"/>
          <w:szCs w:val="16"/>
          <w:color w:val="auto"/>
        </w:rPr>
        <w:t>Signed:</w:t>
      </w:r>
    </w:p>
    <w:p>
      <w:pPr>
        <w:spacing w:after="0" w:line="328"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auto"/>
        </w:rPr>
        <w:t>X \s\ Casey Plant</w:t>
      </w:r>
    </w:p>
    <w:p>
      <w:pPr>
        <w:spacing w:after="0" w:line="70" w:lineRule="exact"/>
        <w:rPr>
          <w:sz w:val="20"/>
          <w:szCs w:val="20"/>
          <w:color w:val="auto"/>
        </w:rPr>
      </w:pPr>
    </w:p>
    <w:p>
      <w:pPr>
        <w:ind w:left="80"/>
        <w:spacing w:after="0"/>
        <w:rPr>
          <w:sz w:val="20"/>
          <w:szCs w:val="20"/>
          <w:color w:val="auto"/>
        </w:rPr>
      </w:pPr>
      <w:r>
        <w:rPr>
          <w:rFonts w:ascii="Arial" w:cs="Arial" w:eastAsia="Arial" w:hAnsi="Arial"/>
          <w:sz w:val="16"/>
          <w:szCs w:val="16"/>
          <w:color w:val="auto"/>
        </w:rPr>
        <w:t>Title: Managing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440"/>
        <w:spacing w:after="0"/>
        <w:rPr>
          <w:sz w:val="20"/>
          <w:szCs w:val="20"/>
          <w:color w:val="auto"/>
        </w:rPr>
      </w:pPr>
      <w:r>
        <w:rPr>
          <w:rFonts w:ascii="Arial" w:cs="Arial" w:eastAsia="Arial" w:hAnsi="Arial"/>
          <w:sz w:val="16"/>
          <w:szCs w:val="16"/>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-158750</wp:posOffset>
            </wp:positionV>
            <wp:extent cx="3402965" cy="7543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02965" cy="754380"/>
                    </a:xfrm>
                    <a:prstGeom prst="rect">
                      <a:avLst/>
                    </a:prstGeom>
                    <a:noFill/>
                  </pic:spPr>
                </pic:pic>
              </a:graphicData>
            </a:graphic>
          </wp:anchor>
        </w:drawing>
      </w:r>
    </w:p>
    <w:p>
      <w:pPr>
        <w:spacing w:after="0" w:line="6" w:lineRule="exact"/>
        <w:rPr>
          <w:sz w:val="20"/>
          <w:szCs w:val="20"/>
          <w:color w:val="auto"/>
        </w:rPr>
      </w:pPr>
    </w:p>
    <w:p>
      <w:pPr>
        <w:jc w:val="right"/>
        <w:ind w:right="3840"/>
        <w:spacing w:after="0"/>
        <w:rPr>
          <w:sz w:val="20"/>
          <w:szCs w:val="20"/>
          <w:color w:val="auto"/>
        </w:rPr>
      </w:pPr>
      <w:r>
        <w:rPr>
          <w:rFonts w:ascii="Arial" w:cs="Arial" w:eastAsia="Arial" w:hAnsi="Arial"/>
          <w:sz w:val="22"/>
          <w:szCs w:val="22"/>
          <w:color w:val="auto"/>
        </w:rPr>
        <w:t>Casey Plant</w:t>
      </w:r>
    </w:p>
    <w:p>
      <w:pPr>
        <w:spacing w:after="0" w:line="200" w:lineRule="exact"/>
        <w:rPr>
          <w:sz w:val="20"/>
          <w:szCs w:val="20"/>
          <w:color w:val="auto"/>
        </w:rPr>
      </w:pPr>
    </w:p>
    <w:p>
      <w:pPr>
        <w:spacing w:after="0" w:line="214" w:lineRule="exact"/>
        <w:rPr>
          <w:sz w:val="20"/>
          <w:szCs w:val="20"/>
          <w:color w:val="auto"/>
        </w:rPr>
      </w:pPr>
    </w:p>
    <w:p>
      <w:pPr>
        <w:jc w:val="center"/>
        <w:ind w:right="3860"/>
        <w:spacing w:after="0"/>
        <w:rPr>
          <w:sz w:val="20"/>
          <w:szCs w:val="20"/>
          <w:color w:val="auto"/>
        </w:rPr>
      </w:pPr>
      <w:r>
        <w:rPr>
          <w:rFonts w:ascii="Arial" w:cs="Arial" w:eastAsia="Arial" w:hAnsi="Arial"/>
          <w:sz w:val="16"/>
          <w:szCs w:val="16"/>
          <w:color w:val="auto"/>
        </w:rPr>
        <w:t>Date: 18-Jun-2026</w:t>
      </w:r>
    </w:p>
    <w:p>
      <w:pPr>
        <w:spacing w:after="0" w:line="200" w:lineRule="exact"/>
        <w:rPr>
          <w:sz w:val="20"/>
          <w:szCs w:val="20"/>
          <w:color w:val="auto"/>
        </w:rPr>
      </w:pPr>
    </w:p>
    <w:p>
      <w:pPr>
        <w:sectPr>
          <w:pgSz w:w="11900" w:h="16838" w:orient="portrait"/>
          <w:cols w:equalWidth="0" w:num="2">
            <w:col w:w="5200" w:space="720"/>
            <w:col w:w="5300"/>
          </w:cols>
          <w:pgMar w:left="320" w:top="1020" w:right="359" w:bottom="1440" w:gutter="0" w:footer="0" w:header="0"/>
          <w:type w:val="continuous"/>
        </w:sectPr>
      </w:pPr>
    </w:p>
    <w:p>
      <w:pPr>
        <w:spacing w:after="0" w:line="200" w:lineRule="exact"/>
        <w:rPr>
          <w:sz w:val="20"/>
          <w:szCs w:val="20"/>
          <w:color w:val="auto"/>
        </w:rPr>
      </w:pPr>
    </w:p>
    <w:p>
      <w:pPr>
        <w:spacing w:after="0" w:line="339" w:lineRule="exact"/>
        <w:rPr>
          <w:sz w:val="20"/>
          <w:szCs w:val="20"/>
          <w:color w:val="auto"/>
        </w:rPr>
      </w:pPr>
    </w:p>
    <w:p>
      <w:pPr>
        <w:ind w:left="540"/>
        <w:spacing w:after="0"/>
        <w:rPr>
          <w:sz w:val="20"/>
          <w:szCs w:val="20"/>
          <w:color w:val="auto"/>
        </w:rPr>
      </w:pPr>
      <w:r>
        <w:rPr>
          <w:rFonts w:ascii="Arial" w:cs="Arial" w:eastAsia="Arial" w:hAnsi="Arial"/>
          <w:sz w:val="14"/>
          <w:szCs w:val="14"/>
          <w:u w:val="single" w:color="auto"/>
          <w:color w:val="0563C1"/>
        </w:rPr>
        <w:t xml:space="preserve">Table of Contents </w:t>
      </w:r>
      <w:r>
        <w:rPr>
          <w:rFonts w:ascii="Arial" w:cs="Arial" w:eastAsia="Arial" w:hAnsi="Arial"/>
          <w:sz w:val="14"/>
          <w:szCs w:val="14"/>
          <w:u w:val="single" w:color="auto"/>
          <w:color w:val="000000"/>
        </w:rPr>
        <w:t>6</w:t>
      </w:r>
    </w:p>
    <w:p>
      <w:pPr>
        <w:sectPr>
          <w:pgSz w:w="11900" w:h="16838" w:orient="portrait"/>
          <w:cols w:equalWidth="0" w:num="1">
            <w:col w:w="11220"/>
          </w:cols>
          <w:pgMar w:left="320" w:top="1020" w:right="359" w:bottom="1440" w:gutter="0" w:footer="0" w:header="0"/>
          <w:type w:val="continuous"/>
        </w:sectPr>
      </w:pPr>
    </w:p>
    <w:bookmarkStart w:id="10" w:name="page11"/>
    <w:bookmarkEnd w:id="10"/>
    <w:p>
      <w:pPr>
        <w:ind w:left="2880"/>
        <w:spacing w:after="0"/>
        <w:rPr>
          <w:sz w:val="20"/>
          <w:szCs w:val="20"/>
          <w:color w:val="auto"/>
        </w:rPr>
      </w:pPr>
      <w:r>
        <w:rPr>
          <w:rFonts w:ascii="Arial" w:cs="Arial" w:eastAsia="Arial" w:hAnsi="Arial"/>
          <w:sz w:val="36"/>
          <w:szCs w:val="36"/>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445770" cy="4457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445770" cy="445770"/>
                    </a:xfrm>
                    <a:prstGeom prst="rect">
                      <a:avLst/>
                    </a:prstGeom>
                    <a:noFill/>
                  </pic:spPr>
                </pic:pic>
              </a:graphicData>
            </a:graphic>
          </wp:anchor>
        </w:drawing>
        <w:t>10b5-1 Plan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i w:val="1"/>
          <w:iCs w:val="1"/>
          <w:color w:val="auto"/>
        </w:rPr>
        <w:t>ISSUER</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Notices</w:t>
      </w:r>
    </w:p>
    <w:p>
      <w:pPr>
        <w:spacing w:after="0" w:line="1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All notices under the Plan shall be provided in writing (including email) as follows, provided each of the Issuer and Client agrees not to communicate material non-public information in such notice if delivered via email.</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All notices to Issuer under the Plan shall be provided to:</w:t>
      </w:r>
    </w:p>
    <w:p>
      <w:pPr>
        <w:spacing w:after="0" w:line="134" w:lineRule="exact"/>
        <w:rPr>
          <w:sz w:val="20"/>
          <w:szCs w:val="20"/>
          <w:color w:val="auto"/>
        </w:rPr>
      </w:pPr>
    </w:p>
    <w:tbl>
      <w:tblPr>
        <w:tblLayout w:type="fixed"/>
        <w:tblInd w:w="390" w:type="dxa"/>
        <w:tblCellMar>
          <w:top w:w="0" w:type="dxa"/>
          <w:left w:w="0" w:type="dxa"/>
          <w:bottom w:w="0" w:type="dxa"/>
          <w:right w:w="0" w:type="dxa"/>
        </w:tblCellMar>
      </w:tblPr>
      <w:tr>
        <w:trPr>
          <w:trHeight w:val="236"/>
        </w:trPr>
        <w:tc>
          <w:tcPr>
            <w:tcW w:w="12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w:t>
            </w:r>
          </w:p>
        </w:tc>
        <w:tc>
          <w:tcPr>
            <w:tcW w:w="1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Organization</w:t>
            </w:r>
          </w:p>
        </w:tc>
        <w:tc>
          <w:tcPr>
            <w:tcW w:w="3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Title</w:t>
            </w:r>
          </w:p>
        </w:tc>
        <w:tc>
          <w:tcPr>
            <w:tcW w:w="2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Email</w:t>
            </w: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Telephone</w:t>
            </w:r>
          </w:p>
        </w:tc>
      </w:tr>
      <w:tr>
        <w:trPr>
          <w:trHeight w:val="101"/>
        </w:trPr>
        <w:tc>
          <w:tcPr>
            <w:tcW w:w="1280" w:type="dxa"/>
            <w:vAlign w:val="bottom"/>
            <w:tcBorders>
              <w:left w:val="single" w:sz="8" w:color="auto"/>
              <w:bottom w:val="single" w:sz="8" w:color="auto"/>
              <w:right w:val="single" w:sz="8" w:color="auto"/>
            </w:tcBorders>
          </w:tcPr>
          <w:p>
            <w:pPr>
              <w:spacing w:after="0"/>
              <w:rPr>
                <w:sz w:val="8"/>
                <w:szCs w:val="8"/>
                <w:color w:val="auto"/>
              </w:rPr>
            </w:pPr>
          </w:p>
        </w:tc>
        <w:tc>
          <w:tcPr>
            <w:tcW w:w="1960" w:type="dxa"/>
            <w:vAlign w:val="bottom"/>
            <w:tcBorders>
              <w:bottom w:val="single" w:sz="8" w:color="auto"/>
              <w:right w:val="single" w:sz="8" w:color="auto"/>
            </w:tcBorders>
          </w:tcPr>
          <w:p>
            <w:pPr>
              <w:spacing w:after="0"/>
              <w:rPr>
                <w:sz w:val="8"/>
                <w:szCs w:val="8"/>
                <w:color w:val="auto"/>
              </w:rPr>
            </w:pPr>
          </w:p>
        </w:tc>
        <w:tc>
          <w:tcPr>
            <w:tcW w:w="3300" w:type="dxa"/>
            <w:vAlign w:val="bottom"/>
            <w:tcBorders>
              <w:bottom w:val="single" w:sz="8" w:color="auto"/>
              <w:right w:val="single" w:sz="8" w:color="auto"/>
            </w:tcBorders>
          </w:tcPr>
          <w:p>
            <w:pPr>
              <w:spacing w:after="0"/>
              <w:rPr>
                <w:sz w:val="8"/>
                <w:szCs w:val="8"/>
                <w:color w:val="auto"/>
              </w:rPr>
            </w:pPr>
          </w:p>
        </w:tc>
        <w:tc>
          <w:tcPr>
            <w:tcW w:w="2080" w:type="dxa"/>
            <w:vAlign w:val="bottom"/>
            <w:tcBorders>
              <w:bottom w:val="single" w:sz="8" w:color="auto"/>
              <w:right w:val="single" w:sz="8" w:color="auto"/>
            </w:tcBorders>
          </w:tcPr>
          <w:p>
            <w:pPr>
              <w:spacing w:after="0"/>
              <w:rPr>
                <w:sz w:val="8"/>
                <w:szCs w:val="8"/>
                <w:color w:val="auto"/>
              </w:rPr>
            </w:pPr>
          </w:p>
        </w:tc>
        <w:tc>
          <w:tcPr>
            <w:tcW w:w="1460" w:type="dxa"/>
            <w:vAlign w:val="bottom"/>
            <w:tcBorders>
              <w:bottom w:val="single" w:sz="8" w:color="auto"/>
              <w:right w:val="single" w:sz="8" w:color="auto"/>
            </w:tcBorders>
          </w:tcPr>
          <w:p>
            <w:pPr>
              <w:spacing w:after="0"/>
              <w:rPr>
                <w:sz w:val="8"/>
                <w:szCs w:val="8"/>
                <w:color w:val="auto"/>
              </w:rPr>
            </w:pPr>
          </w:p>
        </w:tc>
      </w:tr>
      <w:tr>
        <w:trPr>
          <w:trHeight w:val="208"/>
        </w:trPr>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Dave Sincich</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Viant Technology Inc.</w:t>
            </w:r>
          </w:p>
        </w:tc>
        <w:tc>
          <w:tcPr>
            <w:tcW w:w="33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EVP, Corporate Finance &amp; Accounting</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dsincich@viantinc.com</w:t>
            </w:r>
          </w:p>
        </w:tc>
        <w:tc>
          <w:tcPr>
            <w:tcW w:w="1460" w:type="dxa"/>
            <w:vAlign w:val="bottom"/>
            <w:tcBorders>
              <w:right w:val="single" w:sz="8" w:color="auto"/>
            </w:tcBorders>
          </w:tcPr>
          <w:p>
            <w:pPr>
              <w:jc w:val="right"/>
              <w:ind w:right="119"/>
              <w:spacing w:after="0"/>
              <w:rPr>
                <w:sz w:val="20"/>
                <w:szCs w:val="20"/>
                <w:color w:val="auto"/>
              </w:rPr>
            </w:pPr>
            <w:r>
              <w:rPr>
                <w:rFonts w:ascii="Arial" w:cs="Arial" w:eastAsia="Arial" w:hAnsi="Arial"/>
                <w:sz w:val="16"/>
                <w:szCs w:val="16"/>
                <w:color w:val="auto"/>
              </w:rPr>
              <w:t>(949) 861-2037</w:t>
            </w:r>
          </w:p>
        </w:tc>
      </w:tr>
      <w:tr>
        <w:trPr>
          <w:trHeight w:val="109"/>
        </w:trPr>
        <w:tc>
          <w:tcPr>
            <w:tcW w:w="1280" w:type="dxa"/>
            <w:vAlign w:val="bottom"/>
            <w:tcBorders>
              <w:left w:val="single" w:sz="8" w:color="auto"/>
              <w:bottom w:val="single" w:sz="8" w:color="auto"/>
              <w:right w:val="single" w:sz="8" w:color="auto"/>
            </w:tcBorders>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3300" w:type="dxa"/>
            <w:vAlign w:val="bottom"/>
            <w:tcBorders>
              <w:bottom w:val="single" w:sz="8" w:color="auto"/>
              <w:right w:val="single" w:sz="8" w:color="auto"/>
            </w:tcBorders>
          </w:tcPr>
          <w:p>
            <w:pPr>
              <w:spacing w:after="0"/>
              <w:rPr>
                <w:sz w:val="9"/>
                <w:szCs w:val="9"/>
                <w:color w:val="auto"/>
              </w:rPr>
            </w:pPr>
          </w:p>
        </w:tc>
        <w:tc>
          <w:tcPr>
            <w:tcW w:w="20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16</w:t>
      </w:r>
    </w:p>
    <w:p>
      <w:pPr>
        <w:spacing w:after="0" w:line="12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If Client is subject to the reporting requirements of Section 16 of the Exchange Act, transaction information for open market transactions under the Plan shall be provided to:</w:t>
      </w:r>
    </w:p>
    <w:p>
      <w:pPr>
        <w:spacing w:after="0" w:line="82" w:lineRule="exact"/>
        <w:rPr>
          <w:sz w:val="20"/>
          <w:szCs w:val="20"/>
          <w:color w:val="auto"/>
        </w:rPr>
      </w:pPr>
    </w:p>
    <w:tbl>
      <w:tblPr>
        <w:tblLayout w:type="fixed"/>
        <w:tblInd w:w="270" w:type="dxa"/>
        <w:tblCellMar>
          <w:top w:w="0" w:type="dxa"/>
          <w:left w:w="0" w:type="dxa"/>
          <w:bottom w:w="0" w:type="dxa"/>
          <w:right w:w="0" w:type="dxa"/>
        </w:tblCellMar>
      </w:tblPr>
      <w:tr>
        <w:trPr>
          <w:trHeight w:val="236"/>
        </w:trPr>
        <w:tc>
          <w:tcPr>
            <w:tcW w:w="16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w:t>
            </w:r>
          </w:p>
        </w:tc>
        <w:tc>
          <w:tcPr>
            <w:tcW w:w="1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Organization</w:t>
            </w:r>
          </w:p>
        </w:tc>
        <w:tc>
          <w:tcPr>
            <w:tcW w:w="3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Email</w:t>
            </w:r>
          </w:p>
        </w:tc>
        <w:tc>
          <w:tcPr>
            <w:tcW w:w="1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Telephone</w:t>
            </w:r>
          </w:p>
        </w:tc>
      </w:tr>
      <w:tr>
        <w:trPr>
          <w:trHeight w:val="101"/>
        </w:trPr>
        <w:tc>
          <w:tcPr>
            <w:tcW w:w="1600" w:type="dxa"/>
            <w:vAlign w:val="bottom"/>
            <w:tcBorders>
              <w:left w:val="single" w:sz="8" w:color="auto"/>
              <w:bottom w:val="single" w:sz="8" w:color="auto"/>
              <w:right w:val="single" w:sz="8" w:color="auto"/>
            </w:tcBorders>
          </w:tcPr>
          <w:p>
            <w:pPr>
              <w:spacing w:after="0"/>
              <w:rPr>
                <w:sz w:val="8"/>
                <w:szCs w:val="8"/>
                <w:color w:val="auto"/>
              </w:rPr>
            </w:pPr>
          </w:p>
        </w:tc>
        <w:tc>
          <w:tcPr>
            <w:tcW w:w="1980" w:type="dxa"/>
            <w:vAlign w:val="bottom"/>
            <w:tcBorders>
              <w:bottom w:val="single" w:sz="8" w:color="auto"/>
              <w:right w:val="single" w:sz="8" w:color="auto"/>
            </w:tcBorders>
          </w:tcPr>
          <w:p>
            <w:pPr>
              <w:spacing w:after="0"/>
              <w:rPr>
                <w:sz w:val="8"/>
                <w:szCs w:val="8"/>
                <w:color w:val="auto"/>
              </w:rPr>
            </w:pPr>
          </w:p>
        </w:tc>
        <w:tc>
          <w:tcPr>
            <w:tcW w:w="332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r>
      <w:tr>
        <w:trPr>
          <w:trHeight w:val="208"/>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Dave Sincich</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Viant Technology Inc.</w:t>
            </w:r>
          </w:p>
        </w:tc>
        <w:tc>
          <w:tcPr>
            <w:tcW w:w="33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EVP, Corporate Finance &amp; Accounting</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dsincich@viantinc.com</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(949) 861-2037</w:t>
            </w:r>
          </w:p>
        </w:tc>
      </w:tr>
      <w:tr>
        <w:trPr>
          <w:trHeight w:val="109"/>
        </w:trPr>
        <w:tc>
          <w:tcPr>
            <w:tcW w:w="1600" w:type="dxa"/>
            <w:vAlign w:val="bottom"/>
            <w:tcBorders>
              <w:left w:val="single" w:sz="8" w:color="auto"/>
              <w:bottom w:val="single" w:sz="8" w:color="auto"/>
              <w:right w:val="single" w:sz="8" w:color="auto"/>
            </w:tcBorders>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3320" w:type="dxa"/>
            <w:vAlign w:val="bottom"/>
            <w:tcBorders>
              <w:bottom w:val="single" w:sz="8" w:color="auto"/>
              <w:right w:val="single" w:sz="8" w:color="auto"/>
            </w:tcBorders>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r>
      <w:tr>
        <w:trPr>
          <w:trHeight w:val="208"/>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Jessica Schilling</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Viant Technology Inc.</w:t>
            </w:r>
          </w:p>
        </w:tc>
        <w:tc>
          <w:tcPr>
            <w:tcW w:w="33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SVP, Corporate Finance &amp; Accounting</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jschilling@viantinc.com</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(949) 398-5030</w:t>
            </w:r>
          </w:p>
        </w:tc>
      </w:tr>
      <w:tr>
        <w:trPr>
          <w:trHeight w:val="109"/>
        </w:trPr>
        <w:tc>
          <w:tcPr>
            <w:tcW w:w="1600" w:type="dxa"/>
            <w:vAlign w:val="bottom"/>
            <w:tcBorders>
              <w:left w:val="single" w:sz="8" w:color="auto"/>
              <w:bottom w:val="single" w:sz="8" w:color="auto"/>
              <w:right w:val="single" w:sz="8" w:color="auto"/>
            </w:tcBorders>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3320" w:type="dxa"/>
            <w:vAlign w:val="bottom"/>
            <w:tcBorders>
              <w:bottom w:val="single" w:sz="8" w:color="auto"/>
              <w:right w:val="single" w:sz="8" w:color="auto"/>
            </w:tcBorders>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r>
      <w:tr>
        <w:trPr>
          <w:trHeight w:val="208"/>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Larry Madden</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Viant Technology Inc.</w:t>
            </w:r>
          </w:p>
        </w:tc>
        <w:tc>
          <w:tcPr>
            <w:tcW w:w="33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CFO</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lmaddden@viantinc.com</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(949) 861-8899</w:t>
            </w:r>
          </w:p>
        </w:tc>
      </w:tr>
      <w:tr>
        <w:trPr>
          <w:trHeight w:val="109"/>
        </w:trPr>
        <w:tc>
          <w:tcPr>
            <w:tcW w:w="1600" w:type="dxa"/>
            <w:vAlign w:val="bottom"/>
            <w:tcBorders>
              <w:left w:val="single" w:sz="8" w:color="auto"/>
              <w:bottom w:val="single" w:sz="8" w:color="auto"/>
              <w:right w:val="single" w:sz="8" w:color="auto"/>
            </w:tcBorders>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3320" w:type="dxa"/>
            <w:vAlign w:val="bottom"/>
            <w:tcBorders>
              <w:bottom w:val="single" w:sz="8" w:color="auto"/>
              <w:right w:val="single" w:sz="8" w:color="auto"/>
            </w:tcBorders>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undersigned have executed this Plan as of the date written by the Client.</w:t>
      </w:r>
    </w:p>
    <w:p>
      <w:pPr>
        <w:spacing w:after="0" w:line="113"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 xml:space="preserve">Where “Rule 144 Affiliate of Issuer” in </w:t>
      </w:r>
      <w:r>
        <w:rPr>
          <w:rFonts w:ascii="Arial" w:cs="Arial" w:eastAsia="Arial" w:hAnsi="Arial"/>
          <w:sz w:val="16"/>
          <w:szCs w:val="16"/>
          <w:b w:val="1"/>
          <w:bCs w:val="1"/>
          <w:u w:val="single" w:color="auto"/>
          <w:color w:val="auto"/>
        </w:rPr>
        <w:t>SECTION I</w:t>
      </w:r>
      <w:r>
        <w:rPr>
          <w:rFonts w:ascii="Arial" w:cs="Arial" w:eastAsia="Arial" w:hAnsi="Arial"/>
          <w:sz w:val="16"/>
          <w:szCs w:val="16"/>
          <w:color w:val="auto"/>
        </w:rPr>
        <w:t xml:space="preserve"> is checked “Yes”, or “Director or officer (as defined in Rule 16a-1(f) under the Exchange Act)” in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I</w:t>
      </w:r>
      <w:r>
        <w:rPr>
          <w:rFonts w:ascii="Arial" w:cs="Arial" w:eastAsia="Arial" w:hAnsi="Arial"/>
          <w:sz w:val="16"/>
          <w:szCs w:val="16"/>
          <w:b w:val="1"/>
          <w:bCs w:val="1"/>
          <w:color w:val="auto"/>
        </w:rPr>
        <w:t xml:space="preserve"> </w:t>
      </w:r>
      <w:r>
        <w:rPr>
          <w:rFonts w:ascii="Arial" w:cs="Arial" w:eastAsia="Arial" w:hAnsi="Arial"/>
          <w:sz w:val="16"/>
          <w:szCs w:val="16"/>
          <w:color w:val="auto"/>
        </w:rPr>
        <w:t>is checked, Issuer agrees to use commercially reasonable efforts to provide notice to GS Entity in the event Issuer fails to comply with the timely filing of</w:t>
      </w:r>
      <w:r>
        <w:rPr>
          <w:rFonts w:ascii="Arial" w:cs="Arial" w:eastAsia="Arial" w:hAnsi="Arial"/>
          <w:sz w:val="16"/>
          <w:szCs w:val="16"/>
          <w:b w:val="1"/>
          <w:bCs w:val="1"/>
          <w:color w:val="auto"/>
        </w:rPr>
        <w:t xml:space="preserve"> </w:t>
      </w:r>
      <w:r>
        <w:rPr>
          <w:rFonts w:ascii="Arial" w:cs="Arial" w:eastAsia="Arial" w:hAnsi="Arial"/>
          <w:sz w:val="16"/>
          <w:szCs w:val="16"/>
          <w:color w:val="auto"/>
        </w:rPr>
        <w:t>any quarterly or annual reports required by the SEC, with such notice resulting in a suspension of the Plan pursuant to Section 3.5(c), provided that Issuer’s obligation to provide such notice to GS Entity shall end with the termination of the Plan.</w:t>
      </w:r>
    </w:p>
    <w:p>
      <w:pPr>
        <w:spacing w:after="0" w:line="78"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Issuer acknowledges receipt of a copy of the Plan and has concluded that the Plan, assuming the transactions of Shares are executed in accordance with the terms and conditions hereof, does not violate any policy or trading restriction of the Issuer, including the Issuer’s insider trading policy.</w:t>
      </w:r>
    </w:p>
    <w:p>
      <w:pPr>
        <w:spacing w:after="0" w:line="48" w:lineRule="exact"/>
        <w:rPr>
          <w:sz w:val="20"/>
          <w:szCs w:val="20"/>
          <w:color w:val="auto"/>
        </w:rPr>
      </w:pPr>
    </w:p>
    <w:p>
      <w:pPr>
        <w:ind w:right="880"/>
        <w:spacing w:after="0" w:line="304" w:lineRule="auto"/>
        <w:rPr>
          <w:sz w:val="20"/>
          <w:szCs w:val="20"/>
          <w:color w:val="auto"/>
        </w:rPr>
      </w:pPr>
      <w:r>
        <w:rPr>
          <w:rFonts w:ascii="Arial" w:cs="Arial" w:eastAsia="Arial" w:hAnsi="Arial"/>
          <w:sz w:val="16"/>
          <w:szCs w:val="16"/>
          <w:color w:val="auto"/>
        </w:rPr>
        <w:t>Issuer acknowledges and agrees (i) to perform its obligations under the Plan in accordance with the terms and conditions hereof, and (ii) that the performance of Issuer’s obligations is condition precedent to GS Entity and/or Broker’s effecting any transaction under the terms of the Plan.</w:t>
      </w:r>
    </w:p>
    <w:p>
      <w:pPr>
        <w:sectPr>
          <w:pgSz w:w="11900" w:h="16838" w:orient="portrait"/>
          <w:cols w:equalWidth="0" w:num="1">
            <w:col w:w="11220"/>
          </w:cols>
          <w:pgMar w:left="320" w:top="1020" w:right="359" w:bottom="1440" w:gutter="0" w:footer="0" w:header="0"/>
        </w:sectPr>
      </w:pP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3402965" cy="7543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02965" cy="754380"/>
                    </a:xfrm>
                    <a:prstGeom prst="rect">
                      <a:avLst/>
                    </a:prstGeom>
                    <a:noFill/>
                  </pic:spPr>
                </pic:pic>
              </a:graphicData>
            </a:graphic>
          </wp:anchor>
        </w:drawing>
      </w:r>
    </w:p>
    <w:p>
      <w:pPr>
        <w:spacing w:after="0" w:line="205" w:lineRule="exact"/>
        <w:rPr>
          <w:sz w:val="20"/>
          <w:szCs w:val="20"/>
          <w:color w:val="auto"/>
        </w:rPr>
      </w:pPr>
    </w:p>
    <w:p>
      <w:pPr>
        <w:ind w:left="80"/>
        <w:spacing w:after="0"/>
        <w:rPr>
          <w:sz w:val="20"/>
          <w:szCs w:val="20"/>
          <w:color w:val="auto"/>
        </w:rPr>
      </w:pPr>
      <w:r>
        <w:rPr>
          <w:rFonts w:ascii="Arial" w:cs="Arial" w:eastAsia="Arial" w:hAnsi="Arial"/>
          <w:sz w:val="16"/>
          <w:szCs w:val="16"/>
          <w:color w:val="auto"/>
        </w:rPr>
        <w:t>Signed:</w:t>
      </w:r>
    </w:p>
    <w:p>
      <w:pPr>
        <w:spacing w:after="0" w:line="328"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X \s\ Dave Sincich</w:t>
      </w:r>
    </w:p>
    <w:p>
      <w:pPr>
        <w:spacing w:after="0" w:line="72" w:lineRule="exact"/>
        <w:rPr>
          <w:sz w:val="20"/>
          <w:szCs w:val="20"/>
          <w:color w:val="auto"/>
        </w:rPr>
      </w:pPr>
    </w:p>
    <w:p>
      <w:pPr>
        <w:ind w:left="80"/>
        <w:spacing w:after="0"/>
        <w:rPr>
          <w:sz w:val="20"/>
          <w:szCs w:val="20"/>
          <w:color w:val="auto"/>
        </w:rPr>
      </w:pPr>
      <w:r>
        <w:rPr>
          <w:rFonts w:ascii="Arial" w:cs="Arial" w:eastAsia="Arial" w:hAnsi="Arial"/>
          <w:sz w:val="16"/>
          <w:szCs w:val="16"/>
          <w:color w:val="auto"/>
        </w:rPr>
        <w:t>Title: EVP, Corporate Finance &amp; Accounting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-149860</wp:posOffset>
            </wp:positionV>
            <wp:extent cx="3402965" cy="7543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02965" cy="75438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Dave Sincich</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Date: 18-Jun-2026</w:t>
      </w:r>
    </w:p>
    <w:p>
      <w:pPr>
        <w:spacing w:after="0" w:line="200" w:lineRule="exact"/>
        <w:rPr>
          <w:sz w:val="20"/>
          <w:szCs w:val="20"/>
          <w:color w:val="auto"/>
        </w:rPr>
      </w:pPr>
    </w:p>
    <w:p>
      <w:pPr>
        <w:sectPr>
          <w:pgSz w:w="11900" w:h="16838" w:orient="portrait"/>
          <w:cols w:equalWidth="0" w:num="2">
            <w:col w:w="5260" w:space="720"/>
            <w:col w:w="5240"/>
          </w:cols>
          <w:pgMar w:left="320" w:top="1020" w:right="359" w:bottom="1440" w:gutter="0" w:footer="0" w:header="0"/>
          <w:type w:val="continuous"/>
        </w:sectPr>
      </w:pPr>
    </w:p>
    <w:p>
      <w:pPr>
        <w:spacing w:after="0" w:line="200" w:lineRule="exact"/>
        <w:rPr>
          <w:sz w:val="20"/>
          <w:szCs w:val="20"/>
          <w:color w:val="auto"/>
        </w:rPr>
      </w:pPr>
    </w:p>
    <w:p>
      <w:pPr>
        <w:spacing w:after="0" w:line="312" w:lineRule="exact"/>
        <w:rPr>
          <w:sz w:val="20"/>
          <w:szCs w:val="20"/>
          <w:color w:val="auto"/>
        </w:rPr>
      </w:pPr>
    </w:p>
    <w:p>
      <w:pPr>
        <w:ind w:left="540"/>
        <w:spacing w:after="0"/>
        <w:rPr>
          <w:sz w:val="20"/>
          <w:szCs w:val="20"/>
          <w:color w:val="auto"/>
        </w:rPr>
      </w:pPr>
      <w:r>
        <w:rPr>
          <w:rFonts w:ascii="Arial" w:cs="Arial" w:eastAsia="Arial" w:hAnsi="Arial"/>
          <w:sz w:val="14"/>
          <w:szCs w:val="14"/>
          <w:u w:val="single" w:color="auto"/>
          <w:color w:val="0563C1"/>
        </w:rPr>
        <w:t xml:space="preserve">Table of Contents </w:t>
      </w:r>
      <w:r>
        <w:rPr>
          <w:rFonts w:ascii="Arial" w:cs="Arial" w:eastAsia="Arial" w:hAnsi="Arial"/>
          <w:sz w:val="14"/>
          <w:szCs w:val="14"/>
          <w:u w:val="single" w:color="auto"/>
          <w:color w:val="000000"/>
        </w:rPr>
        <w:t>7</w:t>
      </w:r>
    </w:p>
    <w:p>
      <w:pPr>
        <w:sectPr>
          <w:pgSz w:w="11900" w:h="16838" w:orient="portrait"/>
          <w:cols w:equalWidth="0" w:num="1">
            <w:col w:w="11220"/>
          </w:cols>
          <w:pgMar w:left="320" w:top="1020" w:right="359" w:bottom="1440" w:gutter="0" w:footer="0" w:header="0"/>
          <w:type w:val="continuous"/>
        </w:sectPr>
      </w:pPr>
    </w:p>
    <w:bookmarkStart w:id="11" w:name="page12"/>
    <w:bookmarkEnd w:id="11"/>
    <w:p>
      <w:pPr>
        <w:ind w:left="2880"/>
        <w:spacing w:after="0"/>
        <w:rPr>
          <w:sz w:val="20"/>
          <w:szCs w:val="20"/>
          <w:color w:val="auto"/>
        </w:rPr>
      </w:pPr>
      <w:r>
        <w:rPr>
          <w:rFonts w:ascii="Arial" w:cs="Arial" w:eastAsia="Arial" w:hAnsi="Arial"/>
          <w:sz w:val="36"/>
          <w:szCs w:val="36"/>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445770" cy="4457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445770" cy="445770"/>
                    </a:xfrm>
                    <a:prstGeom prst="rect">
                      <a:avLst/>
                    </a:prstGeom>
                    <a:noFill/>
                  </pic:spPr>
                </pic:pic>
              </a:graphicData>
            </a:graphic>
          </wp:anchor>
        </w:drawing>
        <w:t>10b5-1 Plan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SECTION V</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REPRESENTATIONS, WARRANTIES AND COVENANTS</w:t>
      </w: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Client represents and warrants to, and agrees with, GS Entity and Broker as follows:</w:t>
      </w:r>
    </w:p>
    <w:p>
      <w:pPr>
        <w:spacing w:after="0" w:line="127" w:lineRule="exact"/>
        <w:rPr>
          <w:sz w:val="20"/>
          <w:szCs w:val="20"/>
          <w:color w:val="auto"/>
        </w:rPr>
      </w:pPr>
    </w:p>
    <w:p>
      <w:pPr>
        <w:ind w:left="400" w:right="440" w:hanging="647"/>
        <w:spacing w:after="0" w:line="265" w:lineRule="auto"/>
        <w:tabs>
          <w:tab w:leader="none" w:pos="380" w:val="left"/>
        </w:tabs>
        <w:rPr>
          <w:sz w:val="20"/>
          <w:szCs w:val="20"/>
          <w:color w:val="auto"/>
        </w:rPr>
      </w:pPr>
      <w:r>
        <w:rPr>
          <w:rFonts w:ascii="Arial" w:cs="Arial" w:eastAsia="Arial" w:hAnsi="Arial"/>
          <w:sz w:val="16"/>
          <w:szCs w:val="16"/>
          <w:color w:val="auto"/>
        </w:rPr>
        <w:t>1.1</w:t>
        <w:tab/>
        <w:t>As of the date hereof, Client certifies that they are not aware of any material nonpublic information concerning Issuer or its securities, and are not subject to any legal, regulatory, or contractual restriction or undertaking that would prevent GS Entity and/or its affiliates from acting upon the instructions set forth in the Plan. Client further certifies that they are entering into the Plan in good faith, and not as part of a plan or scheme to evade compliance with the federal or state securities laws, and will act in good faith with respect to the Plan.</w:t>
      </w:r>
    </w:p>
    <w:p>
      <w:pPr>
        <w:spacing w:after="0" w:line="65" w:lineRule="exact"/>
        <w:rPr>
          <w:sz w:val="20"/>
          <w:szCs w:val="20"/>
          <w:color w:val="auto"/>
        </w:rPr>
      </w:pPr>
    </w:p>
    <w:p>
      <w:pPr>
        <w:ind w:left="420" w:right="100" w:hanging="647"/>
        <w:spacing w:after="0" w:line="265" w:lineRule="auto"/>
        <w:tabs>
          <w:tab w:leader="none" w:pos="400" w:val="left"/>
        </w:tabs>
        <w:rPr>
          <w:sz w:val="20"/>
          <w:szCs w:val="20"/>
          <w:color w:val="auto"/>
        </w:rPr>
      </w:pPr>
      <w:r>
        <w:rPr>
          <w:rFonts w:ascii="Arial" w:cs="Arial" w:eastAsia="Arial" w:hAnsi="Arial"/>
          <w:sz w:val="16"/>
          <w:szCs w:val="16"/>
          <w:color w:val="auto"/>
        </w:rPr>
        <w:t>1.2</w:t>
        <w:tab/>
        <w:t>Client has not entered and will not enter into or alter any corresponding or hedging transaction or position with respect to the securities covered by the Plan (including, without limitation, with respect to any securities convertible or exchangeable into the Shares). Client has also not entered, and will not enter, into any additional contract, instruction, or plan that would qualify for the affirmative defense under Rule 10b5-1(c)(1) for purchases or sales of the Issuer’s securities on the open market except as permitted pursuant to Rule 10b5-1(c)(1)(ii)(D) and disclosed to GS Entity.</w:t>
      </w:r>
    </w:p>
    <w:p>
      <w:pPr>
        <w:spacing w:after="0" w:line="78" w:lineRule="exact"/>
        <w:rPr>
          <w:sz w:val="20"/>
          <w:szCs w:val="20"/>
          <w:color w:val="auto"/>
        </w:rPr>
      </w:pPr>
    </w:p>
    <w:p>
      <w:pPr>
        <w:ind w:left="420" w:right="440" w:hanging="647"/>
        <w:spacing w:after="0" w:line="286" w:lineRule="auto"/>
        <w:tabs>
          <w:tab w:leader="none" w:pos="400" w:val="left"/>
        </w:tabs>
        <w:rPr>
          <w:sz w:val="20"/>
          <w:szCs w:val="20"/>
          <w:color w:val="auto"/>
        </w:rPr>
      </w:pPr>
      <w:r>
        <w:rPr>
          <w:rFonts w:ascii="Arial" w:cs="Arial" w:eastAsia="Arial" w:hAnsi="Arial"/>
          <w:sz w:val="16"/>
          <w:szCs w:val="16"/>
          <w:color w:val="auto"/>
        </w:rPr>
        <w:t>1.3</w:t>
        <w:tab/>
        <w:t>Client acknowledges GS Entity and/or one of its affiliates, as applicable, may make a market in the Shares and will continue to engage in market-making activities while executing transactions on behalf of Client pursuant to the Plan.</w:t>
      </w:r>
    </w:p>
    <w:p>
      <w:pPr>
        <w:spacing w:after="0" w:line="48" w:lineRule="exact"/>
        <w:rPr>
          <w:sz w:val="20"/>
          <w:szCs w:val="20"/>
          <w:color w:val="auto"/>
        </w:rPr>
      </w:pPr>
    </w:p>
    <w:p>
      <w:pPr>
        <w:jc w:val="both"/>
        <w:ind w:left="420" w:right="20" w:hanging="647"/>
        <w:spacing w:after="0" w:line="275" w:lineRule="auto"/>
        <w:tabs>
          <w:tab w:leader="none" w:pos="400" w:val="left"/>
        </w:tabs>
        <w:rPr>
          <w:sz w:val="20"/>
          <w:szCs w:val="20"/>
          <w:color w:val="auto"/>
        </w:rPr>
      </w:pPr>
      <w:r>
        <w:rPr>
          <w:rFonts w:ascii="Arial" w:cs="Arial" w:eastAsia="Arial" w:hAnsi="Arial"/>
          <w:sz w:val="16"/>
          <w:szCs w:val="16"/>
          <w:color w:val="auto"/>
        </w:rPr>
        <w:t>1.4</w:t>
        <w:tab/>
        <w:t>Client does not have, and shall not attempt to exercise, any influence over how, when, or whether to effect transactions of Shares pursuant to the Plan and Client shall not discuss with GS Entity and its affiliates the timing of the transactions of Shares other than to confirm the trading instructions and describe them if necessary.</w:t>
      </w:r>
    </w:p>
    <w:p>
      <w:pPr>
        <w:spacing w:after="0" w:line="70"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1.5</w:t>
        <w:tab/>
        <w:t>Client agrees to inform GS Entity as soon as possible of any of the following:</w:t>
      </w:r>
    </w:p>
    <w:p>
      <w:pPr>
        <w:spacing w:after="0" w:line="113" w:lineRule="exact"/>
        <w:rPr>
          <w:sz w:val="20"/>
          <w:szCs w:val="20"/>
          <w:color w:val="auto"/>
        </w:rPr>
      </w:pPr>
    </w:p>
    <w:p>
      <w:pPr>
        <w:ind w:left="980" w:right="620" w:hanging="324"/>
        <w:spacing w:after="0" w:line="275" w:lineRule="auto"/>
        <w:tabs>
          <w:tab w:leader="none" w:pos="962"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subsequent restrictions imposed on Client due to changes in the securities (or other) laws or due to other restrictions, regulatory or otherwise, or of any contractual or other restrictions imposed on Issuer that would prevent GS Entity and/or its affiliates or Client from complying with the Plan, and</w:t>
      </w:r>
    </w:p>
    <w:p>
      <w:pPr>
        <w:spacing w:after="0" w:line="56" w:lineRule="exact"/>
        <w:rPr>
          <w:rFonts w:ascii="Arial" w:cs="Arial" w:eastAsia="Arial" w:hAnsi="Arial"/>
          <w:sz w:val="16"/>
          <w:szCs w:val="16"/>
          <w:color w:val="auto"/>
        </w:rPr>
      </w:pPr>
    </w:p>
    <w:p>
      <w:pPr>
        <w:ind w:left="980" w:right="360" w:hanging="324"/>
        <w:spacing w:after="0" w:line="304" w:lineRule="auto"/>
        <w:tabs>
          <w:tab w:leader="none" w:pos="968"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occurrence of any event as set forth in the Plan that would cause the Plan to be suspended or terminated under 3.5 or 3.6 of the Plan, respectively.</w:t>
      </w:r>
    </w:p>
    <w:p>
      <w:pPr>
        <w:spacing w:after="0" w:line="33" w:lineRule="exact"/>
        <w:rPr>
          <w:sz w:val="20"/>
          <w:szCs w:val="20"/>
          <w:color w:val="auto"/>
        </w:rPr>
      </w:pPr>
    </w:p>
    <w:p>
      <w:pPr>
        <w:ind w:left="420" w:right="160" w:hanging="647"/>
        <w:spacing w:after="0" w:line="286" w:lineRule="auto"/>
        <w:tabs>
          <w:tab w:leader="none" w:pos="400" w:val="left"/>
        </w:tabs>
        <w:rPr>
          <w:sz w:val="20"/>
          <w:szCs w:val="20"/>
          <w:color w:val="auto"/>
        </w:rPr>
      </w:pPr>
      <w:r>
        <w:rPr>
          <w:rFonts w:ascii="Arial" w:cs="Arial" w:eastAsia="Arial" w:hAnsi="Arial"/>
          <w:sz w:val="16"/>
          <w:szCs w:val="16"/>
          <w:color w:val="auto"/>
        </w:rPr>
        <w:t>1.6</w:t>
        <w:tab/>
        <w:t>Client has consulted with Client’s own advisors as to the legal, tax, business, financial and related aspects of, and has not relied upon GS Entity or its affiliates, or any person affiliated with GS Entity and/or its affiliates in connection with, Client’s adoption and implementation of the Plan.</w:t>
      </w:r>
    </w:p>
    <w:p>
      <w:pPr>
        <w:spacing w:after="0" w:line="61" w:lineRule="exact"/>
        <w:rPr>
          <w:sz w:val="20"/>
          <w:szCs w:val="20"/>
          <w:color w:val="auto"/>
        </w:rPr>
      </w:pPr>
    </w:p>
    <w:p>
      <w:pPr>
        <w:ind w:left="420" w:right="20" w:hanging="647"/>
        <w:spacing w:after="0" w:line="260" w:lineRule="auto"/>
        <w:tabs>
          <w:tab w:leader="none" w:pos="400" w:val="left"/>
        </w:tabs>
        <w:rPr>
          <w:sz w:val="20"/>
          <w:szCs w:val="20"/>
          <w:color w:val="auto"/>
        </w:rPr>
      </w:pPr>
      <w:r>
        <w:rPr>
          <w:rFonts w:ascii="Arial" w:cs="Arial" w:eastAsia="Arial" w:hAnsi="Arial"/>
          <w:sz w:val="16"/>
          <w:szCs w:val="16"/>
          <w:color w:val="auto"/>
        </w:rPr>
        <w:t>1.7</w:t>
        <w:tab/>
        <w:t>Other than any requirements set forth herein under 2.1 of the Plan, there are no contractual, regulatory, or other restrictions applicable to the sales of Shares contemplated under the Plan that would interfere with GS Entity’s or Broker’s ability to execute sales and effect delivery and settlement of such sales on behalf of Client, other than restrictions with respect to which the Client has obtained (and provided to GS Entity and Broker) all required consents, approvals and waivers; Client has, or will have, good, valid and marketable title to the Shares to be sold under the Plan, free and clear of all liens, encumbrances or adverse claims.</w:t>
      </w:r>
    </w:p>
    <w:p>
      <w:pPr>
        <w:spacing w:after="0" w:line="83"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1.8</w:t>
        <w:tab/>
        <w:t>Client is solely responsible for, and will make, any required filing under Sections 13(d) or 13(g) of the Exchange Act.</w:t>
      </w:r>
    </w:p>
    <w:p>
      <w:pPr>
        <w:spacing w:after="0" w:line="113"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1.9</w:t>
        <w:tab/>
        <w:t>If Client is subject to the reporting requirements of Section 16 of the Exchange Act:</w:t>
      </w:r>
    </w:p>
    <w:p>
      <w:pPr>
        <w:spacing w:after="0" w:line="127"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Client acknowledges that neither Broker nor its affiliates shall have responsibility or liability in connection with filing a Form 4 with the SEC.</w:t>
      </w:r>
    </w:p>
    <w:p>
      <w:pPr>
        <w:spacing w:after="0" w:line="113" w:lineRule="exact"/>
        <w:rPr>
          <w:rFonts w:ascii="Arial" w:cs="Arial" w:eastAsia="Arial" w:hAnsi="Arial"/>
          <w:sz w:val="16"/>
          <w:szCs w:val="16"/>
          <w:color w:val="auto"/>
        </w:rPr>
      </w:pPr>
    </w:p>
    <w:p>
      <w:pPr>
        <w:jc w:val="both"/>
        <w:ind w:left="980" w:hanging="324"/>
        <w:spacing w:after="0" w:line="259"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Client understands that commercially reasonable efforts will be made to transmit transaction information for open market transactions under the Plan by close of business on the day of the transaction, but no later than the close of business on the first trading day following the transaction, to the attention of the issuer contacts listed using the email addresses provided under </w:t>
      </w:r>
      <w:r>
        <w:rPr>
          <w:rFonts w:ascii="Arial" w:cs="Arial" w:eastAsia="Arial" w:hAnsi="Arial"/>
          <w:sz w:val="16"/>
          <w:szCs w:val="16"/>
          <w:b w:val="1"/>
          <w:bCs w:val="1"/>
          <w:color w:val="auto"/>
        </w:rPr>
        <w:t>SECTION IV – Notices, Signatures and</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Acknowledgements – ISSUER.</w:t>
      </w:r>
    </w:p>
    <w:p>
      <w:pPr>
        <w:spacing w:after="0" w:line="5" w:lineRule="exact"/>
        <w:rPr>
          <w:sz w:val="20"/>
          <w:szCs w:val="20"/>
          <w:color w:val="auto"/>
        </w:rPr>
      </w:pPr>
    </w:p>
    <w:p>
      <w:pPr>
        <w:ind w:left="500" w:right="460" w:hanging="647"/>
        <w:spacing w:after="0" w:line="283" w:lineRule="auto"/>
        <w:tabs>
          <w:tab w:leader="none" w:pos="480" w:val="left"/>
        </w:tabs>
        <w:rPr>
          <w:sz w:val="20"/>
          <w:szCs w:val="20"/>
          <w:color w:val="auto"/>
        </w:rPr>
      </w:pPr>
      <w:r>
        <w:rPr>
          <w:rFonts w:ascii="Arial" w:cs="Arial" w:eastAsia="Arial" w:hAnsi="Arial"/>
          <w:sz w:val="16"/>
          <w:szCs w:val="16"/>
          <w:color w:val="auto"/>
        </w:rPr>
        <w:t>1.10</w:t>
        <w:tab/>
        <w:t>Client acknowledges and agrees that Issuer’s performance of the Issuer obligations under the Plan in accordance with the terms and conditions hereof is condition precedent to GS Entity and/or Broker’s effecting any transaction under the terms of the Plan.</w:t>
      </w:r>
    </w:p>
    <w:p>
      <w:pPr>
        <w:spacing w:after="0" w:line="50" w:lineRule="exact"/>
        <w:rPr>
          <w:sz w:val="20"/>
          <w:szCs w:val="20"/>
          <w:color w:val="auto"/>
        </w:rPr>
      </w:pPr>
    </w:p>
    <w:p>
      <w:pPr>
        <w:ind w:left="500" w:right="100" w:hanging="647"/>
        <w:spacing w:after="0" w:line="275" w:lineRule="auto"/>
        <w:tabs>
          <w:tab w:leader="none" w:pos="480" w:val="left"/>
        </w:tabs>
        <w:rPr>
          <w:sz w:val="20"/>
          <w:szCs w:val="20"/>
          <w:color w:val="auto"/>
        </w:rPr>
      </w:pPr>
      <w:r>
        <w:rPr>
          <w:rFonts w:ascii="Arial" w:cs="Arial" w:eastAsia="Arial" w:hAnsi="Arial"/>
          <w:sz w:val="16"/>
          <w:szCs w:val="16"/>
          <w:color w:val="auto"/>
        </w:rPr>
        <w:t>1.11</w:t>
        <w:tab/>
        <w:t>Client has not entered into a contract, instruction, or plan during the prior 12-month period that was designed to effect the open-market purchase or sale of the securities covered by such prior contract, instruction, or plan, in a single transaction that qualified for the affirmative defense under Rule 10b5-1(c)(1) unless otherwise permitted under Rule 10b5-1(c)(1)(ii)(E).</w:t>
      </w:r>
    </w:p>
    <w:p>
      <w:pPr>
        <w:spacing w:after="0" w:line="200" w:lineRule="exact"/>
        <w:rPr>
          <w:sz w:val="20"/>
          <w:szCs w:val="20"/>
          <w:color w:val="auto"/>
        </w:rPr>
      </w:pPr>
    </w:p>
    <w:p>
      <w:pPr>
        <w:spacing w:after="0" w:line="320" w:lineRule="exact"/>
        <w:rPr>
          <w:sz w:val="20"/>
          <w:szCs w:val="20"/>
          <w:color w:val="auto"/>
        </w:rPr>
      </w:pPr>
    </w:p>
    <w:p>
      <w:pPr>
        <w:ind w:left="540"/>
        <w:spacing w:after="0"/>
        <w:rPr>
          <w:sz w:val="20"/>
          <w:szCs w:val="20"/>
          <w:color w:val="auto"/>
        </w:rPr>
      </w:pPr>
      <w:r>
        <w:rPr>
          <w:rFonts w:ascii="Arial" w:cs="Arial" w:eastAsia="Arial" w:hAnsi="Arial"/>
          <w:sz w:val="14"/>
          <w:szCs w:val="14"/>
          <w:u w:val="single" w:color="auto"/>
          <w:color w:val="0563C1"/>
        </w:rPr>
        <w:t xml:space="preserve">Table of Contents </w:t>
      </w:r>
      <w:r>
        <w:rPr>
          <w:rFonts w:ascii="Arial" w:cs="Arial" w:eastAsia="Arial" w:hAnsi="Arial"/>
          <w:sz w:val="14"/>
          <w:szCs w:val="14"/>
          <w:u w:val="single" w:color="auto"/>
          <w:color w:val="000000"/>
        </w:rPr>
        <w:t>8</w:t>
      </w:r>
    </w:p>
    <w:p>
      <w:pPr>
        <w:sectPr>
          <w:pgSz w:w="11900" w:h="16838" w:orient="portrait"/>
          <w:cols w:equalWidth="0" w:num="1">
            <w:col w:w="11240"/>
          </w:cols>
          <w:pgMar w:left="320" w:top="1020" w:right="339" w:bottom="1440" w:gutter="0" w:footer="0" w:header="0"/>
        </w:sectPr>
      </w:pPr>
    </w:p>
    <w:bookmarkStart w:id="12" w:name="page13"/>
    <w:bookmarkEnd w:id="12"/>
    <w:p>
      <w:pPr>
        <w:ind w:left="2380"/>
        <w:spacing w:after="0"/>
        <w:rPr>
          <w:sz w:val="20"/>
          <w:szCs w:val="20"/>
          <w:color w:val="auto"/>
        </w:rPr>
      </w:pPr>
      <w:r>
        <w:rPr>
          <w:rFonts w:ascii="Arial" w:cs="Arial" w:eastAsia="Arial" w:hAnsi="Arial"/>
          <w:sz w:val="36"/>
          <w:szCs w:val="36"/>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445770" cy="4457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445770" cy="445770"/>
                    </a:xfrm>
                    <a:prstGeom prst="rect">
                      <a:avLst/>
                    </a:prstGeom>
                    <a:noFill/>
                  </pic:spPr>
                </pic:pic>
              </a:graphicData>
            </a:graphic>
          </wp:anchor>
        </w:drawing>
        <w:t>10b5-1 Plan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hanging="647"/>
        <w:spacing w:after="0" w:line="304" w:lineRule="auto"/>
        <w:rPr>
          <w:sz w:val="20"/>
          <w:szCs w:val="20"/>
          <w:color w:val="auto"/>
        </w:rPr>
      </w:pPr>
      <w:r>
        <w:rPr>
          <w:rFonts w:ascii="Arial" w:cs="Arial" w:eastAsia="Arial" w:hAnsi="Arial"/>
          <w:sz w:val="16"/>
          <w:szCs w:val="16"/>
          <w:color w:val="auto"/>
        </w:rPr>
        <w:t>1.12</w:t>
      </w:r>
      <w:r>
        <w:rPr>
          <w:sz w:val="20"/>
          <w:szCs w:val="20"/>
          <w:color w:val="auto"/>
        </w:rPr>
        <w:t xml:space="preserve"> </w:t>
      </w:r>
      <w:r>
        <w:rPr>
          <w:rFonts w:ascii="Arial" w:cs="Arial" w:eastAsia="Arial" w:hAnsi="Arial"/>
          <w:sz w:val="16"/>
          <w:szCs w:val="16"/>
          <w:color w:val="auto"/>
        </w:rPr>
        <w:t>Client shall notify Broker immediately in the event that any of the above representations or warranties become inaccurate or untrue, or Client fails to comply with any covenant, prior to the termination of this Plan.</w:t>
      </w: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0563C1"/>
        </w:rPr>
        <w:t xml:space="preserve">Table of Contents </w:t>
      </w:r>
      <w:r>
        <w:rPr>
          <w:rFonts w:ascii="Arial" w:cs="Arial" w:eastAsia="Arial" w:hAnsi="Arial"/>
          <w:sz w:val="14"/>
          <w:szCs w:val="14"/>
          <w:u w:val="single" w:color="auto"/>
          <w:color w:val="000000"/>
        </w:rPr>
        <w:t>9</w:t>
      </w:r>
    </w:p>
    <w:p>
      <w:pPr>
        <w:sectPr>
          <w:pgSz w:w="11900" w:h="16838" w:orient="portrait"/>
          <w:cols w:equalWidth="0" w:num="1">
            <w:col w:w="10560"/>
          </w:cols>
          <w:pgMar w:left="820" w:top="1020" w:right="519" w:bottom="1440" w:gutter="0" w:footer="0" w:header="0"/>
        </w:sectPr>
      </w:pPr>
    </w:p>
    <w:bookmarkStart w:id="13" w:name="page14"/>
    <w:bookmarkEnd w:id="13"/>
    <w:p>
      <w:pPr>
        <w:ind w:left="2872"/>
        <w:spacing w:after="0"/>
        <w:rPr>
          <w:sz w:val="20"/>
          <w:szCs w:val="20"/>
          <w:color w:val="auto"/>
        </w:rPr>
      </w:pPr>
      <w:r>
        <w:rPr>
          <w:rFonts w:ascii="Arial" w:cs="Arial" w:eastAsia="Arial" w:hAnsi="Arial"/>
          <w:sz w:val="36"/>
          <w:szCs w:val="36"/>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445770" cy="4457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445770" cy="445770"/>
                    </a:xfrm>
                    <a:prstGeom prst="rect">
                      <a:avLst/>
                    </a:prstGeom>
                    <a:noFill/>
                  </pic:spPr>
                </pic:pic>
              </a:graphicData>
            </a:graphic>
          </wp:anchor>
        </w:drawing>
        <w:t>10b5-1 Plan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
        <w:spacing w:after="0"/>
        <w:rPr>
          <w:sz w:val="20"/>
          <w:szCs w:val="20"/>
          <w:color w:val="auto"/>
        </w:rPr>
      </w:pPr>
      <w:r>
        <w:rPr>
          <w:rFonts w:ascii="Arial" w:cs="Arial" w:eastAsia="Arial" w:hAnsi="Arial"/>
          <w:sz w:val="23"/>
          <w:szCs w:val="23"/>
          <w:b w:val="1"/>
          <w:bCs w:val="1"/>
          <w:color w:val="auto"/>
        </w:rPr>
        <w:t>COMPLIANCE WITH RULE 144</w:t>
      </w:r>
    </w:p>
    <w:p>
      <w:pPr>
        <w:spacing w:after="0" w:line="376" w:lineRule="exact"/>
        <w:rPr>
          <w:sz w:val="20"/>
          <w:szCs w:val="20"/>
          <w:color w:val="auto"/>
        </w:rPr>
      </w:pPr>
    </w:p>
    <w:p>
      <w:pPr>
        <w:ind w:left="412" w:right="180" w:hanging="647"/>
        <w:spacing w:after="0" w:line="275" w:lineRule="auto"/>
        <w:tabs>
          <w:tab w:leader="none" w:pos="392" w:val="left"/>
        </w:tabs>
        <w:rPr>
          <w:sz w:val="20"/>
          <w:szCs w:val="20"/>
          <w:color w:val="auto"/>
        </w:rPr>
      </w:pPr>
      <w:r>
        <w:rPr>
          <w:rFonts w:ascii="Arial" w:cs="Arial" w:eastAsia="Arial" w:hAnsi="Arial"/>
          <w:sz w:val="16"/>
          <w:szCs w:val="16"/>
          <w:color w:val="auto"/>
        </w:rPr>
        <w:t>2.1</w:t>
        <w:tab/>
        <w:t>Client understands and agrees that if Client is or becomes an affiliate or control person for purposes of Rule 144 under the Securities Act of 1933, as amended (“Securities Act”), or if the Shares subject to the Plan are restricted securities subject to limitations under Rule 144, then all sales of Shares under the Plan will be made in accordance with the applicable provisions of Rule 144.</w:t>
      </w:r>
    </w:p>
    <w:p>
      <w:pPr>
        <w:spacing w:after="0" w:line="56" w:lineRule="exact"/>
        <w:rPr>
          <w:sz w:val="20"/>
          <w:szCs w:val="20"/>
          <w:color w:val="auto"/>
        </w:rPr>
      </w:pPr>
    </w:p>
    <w:p>
      <w:pPr>
        <w:ind w:left="1292" w:hanging="644"/>
        <w:spacing w:after="0" w:line="304" w:lineRule="auto"/>
        <w:tabs>
          <w:tab w:leader="none" w:pos="959" w:val="left"/>
        </w:tabs>
        <w:numPr>
          <w:ilvl w:val="1"/>
          <w:numId w:val="22"/>
        </w:numPr>
        <w:rPr>
          <w:rFonts w:ascii="Arial" w:cs="Arial" w:eastAsia="Arial" w:hAnsi="Arial"/>
          <w:sz w:val="16"/>
          <w:szCs w:val="16"/>
          <w:color w:val="auto"/>
        </w:rPr>
      </w:pPr>
      <w:r>
        <w:rPr>
          <w:rFonts w:ascii="Arial" w:cs="Arial" w:eastAsia="Arial" w:hAnsi="Arial"/>
          <w:sz w:val="16"/>
          <w:szCs w:val="16"/>
          <w:color w:val="auto"/>
        </w:rPr>
        <w:t>Pursuant to separate authorizations signed by Client, Client authorizes Broker to file on Client’s behalf any Forms 144 necessary to effect sales under the Plan.</w:t>
      </w:r>
    </w:p>
    <w:p>
      <w:pPr>
        <w:spacing w:after="0" w:line="33" w:lineRule="exact"/>
        <w:rPr>
          <w:rFonts w:ascii="Arial" w:cs="Arial" w:eastAsia="Arial" w:hAnsi="Arial"/>
          <w:sz w:val="16"/>
          <w:szCs w:val="16"/>
          <w:color w:val="auto"/>
        </w:rPr>
      </w:pPr>
    </w:p>
    <w:p>
      <w:pPr>
        <w:ind w:left="1292" w:right="140" w:hanging="644"/>
        <w:spacing w:after="0" w:line="275" w:lineRule="auto"/>
        <w:tabs>
          <w:tab w:leader="none" w:pos="959" w:val="left"/>
        </w:tabs>
        <w:numPr>
          <w:ilvl w:val="1"/>
          <w:numId w:val="22"/>
        </w:numPr>
        <w:rPr>
          <w:rFonts w:ascii="Arial" w:cs="Arial" w:eastAsia="Arial" w:hAnsi="Arial"/>
          <w:sz w:val="16"/>
          <w:szCs w:val="16"/>
          <w:color w:val="auto"/>
        </w:rPr>
      </w:pPr>
      <w:r>
        <w:rPr>
          <w:rFonts w:ascii="Arial" w:cs="Arial" w:eastAsia="Arial" w:hAnsi="Arial"/>
          <w:sz w:val="16"/>
          <w:szCs w:val="16"/>
          <w:color w:val="auto"/>
        </w:rPr>
        <w:t>If appropriate, Client understands and agrees that Broker will either: (i) make one Form 144 filing at the beginning of each three-month period commencing with the date of the first sale made in connection with the Plan or (ii) file a Form 144 for each sale made in connection with the Plan.</w:t>
      </w:r>
    </w:p>
    <w:p>
      <w:pPr>
        <w:spacing w:after="0" w:line="56" w:lineRule="exact"/>
        <w:rPr>
          <w:rFonts w:ascii="Arial" w:cs="Arial" w:eastAsia="Arial" w:hAnsi="Arial"/>
          <w:sz w:val="16"/>
          <w:szCs w:val="16"/>
          <w:color w:val="auto"/>
        </w:rPr>
      </w:pPr>
    </w:p>
    <w:p>
      <w:pPr>
        <w:ind w:left="1292" w:right="440" w:hanging="644"/>
        <w:spacing w:after="0" w:line="304" w:lineRule="auto"/>
        <w:tabs>
          <w:tab w:leader="none" w:pos="95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Each Form 144 shall state the following: “The sales of shares set forth herein are made in connection with a selling plan dated [the Plan’s adoption date] that is intended to comply with Rule 10b5-1(c).”</w:t>
      </w:r>
    </w:p>
    <w:p>
      <w:pPr>
        <w:spacing w:after="0" w:line="33" w:lineRule="exact"/>
        <w:rPr>
          <w:rFonts w:ascii="Arial" w:cs="Arial" w:eastAsia="Arial" w:hAnsi="Arial"/>
          <w:sz w:val="16"/>
          <w:szCs w:val="16"/>
          <w:color w:val="auto"/>
        </w:rPr>
      </w:pPr>
    </w:p>
    <w:p>
      <w:pPr>
        <w:jc w:val="right"/>
        <w:ind w:left="1292" w:right="40" w:hanging="644"/>
        <w:spacing w:after="0" w:line="286" w:lineRule="auto"/>
        <w:tabs>
          <w:tab w:leader="none" w:pos="959" w:val="left"/>
        </w:tabs>
        <w:numPr>
          <w:ilvl w:val="1"/>
          <w:numId w:val="22"/>
        </w:numPr>
        <w:rPr>
          <w:rFonts w:ascii="Arial" w:cs="Arial" w:eastAsia="Arial" w:hAnsi="Arial"/>
          <w:sz w:val="16"/>
          <w:szCs w:val="16"/>
          <w:color w:val="auto"/>
        </w:rPr>
      </w:pPr>
      <w:r>
        <w:rPr>
          <w:rFonts w:ascii="Arial" w:cs="Arial" w:eastAsia="Arial" w:hAnsi="Arial"/>
          <w:sz w:val="16"/>
          <w:szCs w:val="16"/>
          <w:color w:val="auto"/>
        </w:rPr>
        <w:t>GS Entity or one of its affiliates will (i) conduct sales pursuant to the manner of sale requirements of Rule 144(f) and, if applicable, Rule 144(g), and (ii) comply with the Rule 144(e) volume limitations as if the sales under the Plan were the only sales subject to the volume limitations.</w:t>
      </w:r>
    </w:p>
    <w:p>
      <w:pPr>
        <w:spacing w:after="0" w:line="61" w:lineRule="exact"/>
        <w:rPr>
          <w:rFonts w:ascii="Arial" w:cs="Arial" w:eastAsia="Arial" w:hAnsi="Arial"/>
          <w:sz w:val="16"/>
          <w:szCs w:val="16"/>
          <w:color w:val="auto"/>
        </w:rPr>
      </w:pPr>
    </w:p>
    <w:p>
      <w:pPr>
        <w:ind w:left="1292" w:right="60" w:hanging="644"/>
        <w:spacing w:after="0" w:line="275" w:lineRule="auto"/>
        <w:tabs>
          <w:tab w:leader="none" w:pos="959" w:val="left"/>
        </w:tabs>
        <w:numPr>
          <w:ilvl w:val="1"/>
          <w:numId w:val="22"/>
        </w:numPr>
        <w:rPr>
          <w:rFonts w:ascii="Arial" w:cs="Arial" w:eastAsia="Arial" w:hAnsi="Arial"/>
          <w:sz w:val="16"/>
          <w:szCs w:val="16"/>
          <w:color w:val="auto"/>
        </w:rPr>
      </w:pPr>
      <w:r>
        <w:rPr>
          <w:rFonts w:ascii="Arial" w:cs="Arial" w:eastAsia="Arial" w:hAnsi="Arial"/>
          <w:sz w:val="16"/>
          <w:szCs w:val="16"/>
          <w:color w:val="auto"/>
        </w:rPr>
        <w:t>Client agrees not to take any action or to cause or to permit any other person or entity to take any action that would require Client to aggregate sales of Shares subject to the Plan with any other sales of shares as may be required by Rule 144 without advance written notice to Broker/GS Entity; and not to take any action that would cause the sales of Shares under the Plan not to comply with Rule 144.</w:t>
      </w:r>
    </w:p>
    <w:p>
      <w:pPr>
        <w:spacing w:after="0" w:line="56" w:lineRule="exact"/>
        <w:rPr>
          <w:rFonts w:ascii="Arial" w:cs="Arial" w:eastAsia="Arial" w:hAnsi="Arial"/>
          <w:sz w:val="16"/>
          <w:szCs w:val="16"/>
          <w:color w:val="auto"/>
        </w:rPr>
      </w:pPr>
    </w:p>
    <w:p>
      <w:pPr>
        <w:jc w:val="both"/>
        <w:ind w:left="-8" w:right="40" w:firstLine="8"/>
        <w:spacing w:after="0" w:line="275" w:lineRule="auto"/>
        <w:tabs>
          <w:tab w:leader="none" w:pos="262" w:val="left"/>
        </w:tabs>
        <w:numPr>
          <w:ilvl w:val="0"/>
          <w:numId w:val="23"/>
        </w:numPr>
        <w:rPr>
          <w:rFonts w:ascii="Arial" w:cs="Arial" w:eastAsia="Arial" w:hAnsi="Arial"/>
          <w:sz w:val="16"/>
          <w:szCs w:val="16"/>
          <w:color w:val="auto"/>
        </w:rPr>
      </w:pPr>
      <w:r>
        <w:rPr>
          <w:rFonts w:ascii="Arial" w:cs="Arial" w:eastAsia="Arial" w:hAnsi="Arial"/>
          <w:sz w:val="16"/>
          <w:szCs w:val="16"/>
          <w:color w:val="auto"/>
        </w:rPr>
        <w:t>Client acknowledges that the Plan shall be suspended if GS Entity or Broker becomes aware that any information necessary to file Forms 144 on behalf of Client has changed and that all orders related to sales scheduled to be effected during such suspension shall be deemed to be cancelled and shall not be effected pursuant to this Plan.</w:t>
      </w:r>
    </w:p>
    <w:p>
      <w:pPr>
        <w:spacing w:after="0" w:line="200" w:lineRule="exact"/>
        <w:rPr>
          <w:sz w:val="20"/>
          <w:szCs w:val="20"/>
          <w:color w:val="auto"/>
        </w:rPr>
      </w:pPr>
    </w:p>
    <w:p>
      <w:pPr>
        <w:spacing w:after="0" w:line="212" w:lineRule="exact"/>
        <w:rPr>
          <w:sz w:val="20"/>
          <w:szCs w:val="20"/>
          <w:color w:val="auto"/>
        </w:rPr>
      </w:pPr>
    </w:p>
    <w:p>
      <w:pPr>
        <w:ind w:left="532"/>
        <w:spacing w:after="0"/>
        <w:rPr>
          <w:sz w:val="20"/>
          <w:szCs w:val="20"/>
          <w:color w:val="auto"/>
        </w:rPr>
      </w:pPr>
      <w:r>
        <w:rPr>
          <w:rFonts w:ascii="Arial" w:cs="Arial" w:eastAsia="Arial" w:hAnsi="Arial"/>
          <w:sz w:val="14"/>
          <w:szCs w:val="14"/>
          <w:u w:val="single" w:color="auto"/>
          <w:color w:val="0563C1"/>
        </w:rPr>
        <w:t xml:space="preserve">Table of Contents </w:t>
      </w:r>
      <w:r>
        <w:rPr>
          <w:rFonts w:ascii="Arial" w:cs="Arial" w:eastAsia="Arial" w:hAnsi="Arial"/>
          <w:sz w:val="14"/>
          <w:szCs w:val="14"/>
          <w:u w:val="single" w:color="auto"/>
          <w:color w:val="000000"/>
        </w:rPr>
        <w:t>10</w:t>
      </w:r>
    </w:p>
    <w:p>
      <w:pPr>
        <w:sectPr>
          <w:pgSz w:w="11900" w:h="16838" w:orient="portrait"/>
          <w:cols w:equalWidth="0" w:num="1">
            <w:col w:w="11212"/>
          </w:cols>
          <w:pgMar w:left="328" w:top="1020" w:right="359" w:bottom="1440" w:gutter="0" w:footer="0" w:header="0"/>
        </w:sectPr>
      </w:pPr>
    </w:p>
    <w:bookmarkStart w:id="14" w:name="page15"/>
    <w:bookmarkEnd w:id="14"/>
    <w:p>
      <w:pPr>
        <w:ind w:left="2880"/>
        <w:spacing w:after="0"/>
        <w:rPr>
          <w:sz w:val="20"/>
          <w:szCs w:val="20"/>
          <w:color w:val="auto"/>
        </w:rPr>
      </w:pPr>
      <w:r>
        <w:rPr>
          <w:rFonts w:ascii="Arial" w:cs="Arial" w:eastAsia="Arial" w:hAnsi="Arial"/>
          <w:sz w:val="36"/>
          <w:szCs w:val="36"/>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445770" cy="4457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445770" cy="445770"/>
                    </a:xfrm>
                    <a:prstGeom prst="rect">
                      <a:avLst/>
                    </a:prstGeom>
                    <a:noFill/>
                  </pic:spPr>
                </pic:pic>
              </a:graphicData>
            </a:graphic>
          </wp:anchor>
        </w:drawing>
        <w:t>10b5-1 Plan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3"/>
          <w:szCs w:val="23"/>
          <w:b w:val="1"/>
          <w:bCs w:val="1"/>
          <w:color w:val="auto"/>
        </w:rPr>
        <w:t>PLAN TERMS AND CONDITIONS</w:t>
      </w:r>
    </w:p>
    <w:p>
      <w:pPr>
        <w:spacing w:after="0" w:line="376"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3.1</w:t>
        <w:tab/>
        <w:t>Execution, Average Pricing, and Pro Rata Allocation of Transactions</w:t>
      </w:r>
    </w:p>
    <w:p>
      <w:pPr>
        <w:spacing w:after="0" w:line="127" w:lineRule="exact"/>
        <w:rPr>
          <w:sz w:val="20"/>
          <w:szCs w:val="20"/>
          <w:color w:val="auto"/>
        </w:rPr>
      </w:pPr>
    </w:p>
    <w:p>
      <w:pPr>
        <w:ind w:left="980" w:right="280" w:hanging="324"/>
        <w:spacing w:after="0" w:line="286" w:lineRule="auto"/>
        <w:tabs>
          <w:tab w:leader="none" w:pos="971" w:val="left"/>
        </w:tabs>
        <w:numPr>
          <w:ilvl w:val="0"/>
          <w:numId w:val="24"/>
        </w:numPr>
        <w:rPr>
          <w:rFonts w:ascii="Arial" w:cs="Arial" w:eastAsia="Arial" w:hAnsi="Arial"/>
          <w:sz w:val="16"/>
          <w:szCs w:val="16"/>
          <w:color w:val="auto"/>
        </w:rPr>
      </w:pPr>
      <w:r>
        <w:rPr>
          <w:rFonts w:ascii="Arial" w:cs="Arial" w:eastAsia="Arial" w:hAnsi="Arial"/>
          <w:sz w:val="16"/>
          <w:szCs w:val="16"/>
          <w:color w:val="auto"/>
        </w:rPr>
        <w:t>GS Entity will deem all orders as day orders only and not held. A “not held” order permits GS Entity to use reasonable judgment, exercising price and time discretion, as to when to execute the order.</w:t>
      </w:r>
    </w:p>
    <w:p>
      <w:pPr>
        <w:spacing w:after="0" w:line="47" w:lineRule="exact"/>
        <w:rPr>
          <w:rFonts w:ascii="Arial" w:cs="Arial" w:eastAsia="Arial" w:hAnsi="Arial"/>
          <w:sz w:val="16"/>
          <w:szCs w:val="16"/>
          <w:color w:val="auto"/>
        </w:rPr>
      </w:pPr>
    </w:p>
    <w:p>
      <w:pPr>
        <w:ind w:left="980" w:right="120" w:hanging="324"/>
        <w:spacing w:after="0" w:line="275" w:lineRule="auto"/>
        <w:tabs>
          <w:tab w:leader="none" w:pos="971" w:val="left"/>
        </w:tabs>
        <w:numPr>
          <w:ilvl w:val="0"/>
          <w:numId w:val="24"/>
        </w:numPr>
        <w:rPr>
          <w:rFonts w:ascii="Arial" w:cs="Arial" w:eastAsia="Arial" w:hAnsi="Arial"/>
          <w:sz w:val="16"/>
          <w:szCs w:val="16"/>
          <w:color w:val="auto"/>
        </w:rPr>
      </w:pPr>
      <w:r>
        <w:rPr>
          <w:rFonts w:ascii="Arial" w:cs="Arial" w:eastAsia="Arial" w:hAnsi="Arial"/>
          <w:sz w:val="16"/>
          <w:szCs w:val="16"/>
          <w:color w:val="auto"/>
        </w:rPr>
        <w:t>GS Entity or one of its affiliates, as applicable, may execute Client’s order: (i) in a single transaction or multiple transactions during the course of the day, and/or (ii) in aggregate with other orders of Issuer’s securities that may or may not have been adopted pursuant to a Rule 10b5-1 plan.</w:t>
      </w:r>
    </w:p>
    <w:p>
      <w:pPr>
        <w:spacing w:after="0" w:line="69" w:lineRule="exact"/>
        <w:rPr>
          <w:rFonts w:ascii="Arial" w:cs="Arial" w:eastAsia="Arial" w:hAnsi="Arial"/>
          <w:sz w:val="16"/>
          <w:szCs w:val="16"/>
          <w:color w:val="auto"/>
        </w:rPr>
      </w:pPr>
    </w:p>
    <w:p>
      <w:pPr>
        <w:ind w:left="980" w:right="60" w:hanging="324"/>
        <w:spacing w:after="0" w:line="260" w:lineRule="auto"/>
        <w:tabs>
          <w:tab w:leader="none" w:pos="962" w:val="left"/>
        </w:tabs>
        <w:numPr>
          <w:ilvl w:val="0"/>
          <w:numId w:val="24"/>
        </w:numPr>
        <w:rPr>
          <w:rFonts w:ascii="Arial" w:cs="Arial" w:eastAsia="Arial" w:hAnsi="Arial"/>
          <w:sz w:val="16"/>
          <w:szCs w:val="16"/>
          <w:color w:val="auto"/>
        </w:rPr>
      </w:pPr>
      <w:r>
        <w:rPr>
          <w:rFonts w:ascii="Arial" w:cs="Arial" w:eastAsia="Arial" w:hAnsi="Arial"/>
          <w:sz w:val="16"/>
          <w:szCs w:val="16"/>
          <w:color w:val="auto"/>
        </w:rPr>
        <w:t>Where there is more than one Client named on page 1, GS Entity or one of its affiliates, as applicable, may provide transaction information on an aggregate basis with a single average execution price applied to each Client’s account. Client and Issuer each acknowledges that if Client and/or Issuer requests such transaction information on a separate per-Client-account basis, GS Entity or one of its affiliates, as applicable, will use commercially reasonable efforts to provide such transaction information for illustrative purposes only, and such transaction information shall not affect the validity of any transactions under the Plan.</w:t>
      </w:r>
    </w:p>
    <w:p>
      <w:pPr>
        <w:spacing w:after="0" w:line="70"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3.2</w:t>
        <w:tab/>
        <w:t>In the event of a stock split or reverse stock split, the quantity and price at which the Shares are to be transacted will be adjusted proportionately.</w:t>
      </w:r>
    </w:p>
    <w:p>
      <w:pPr>
        <w:spacing w:after="0" w:line="127" w:lineRule="exact"/>
        <w:rPr>
          <w:sz w:val="20"/>
          <w:szCs w:val="20"/>
          <w:color w:val="auto"/>
        </w:rPr>
      </w:pPr>
    </w:p>
    <w:p>
      <w:pPr>
        <w:ind w:left="420" w:hanging="647"/>
        <w:spacing w:after="0" w:line="286" w:lineRule="auto"/>
        <w:tabs>
          <w:tab w:leader="none" w:pos="400" w:val="left"/>
        </w:tabs>
        <w:rPr>
          <w:sz w:val="20"/>
          <w:szCs w:val="20"/>
          <w:color w:val="auto"/>
        </w:rPr>
      </w:pPr>
      <w:r>
        <w:rPr>
          <w:rFonts w:ascii="Arial" w:cs="Arial" w:eastAsia="Arial" w:hAnsi="Arial"/>
          <w:sz w:val="16"/>
          <w:szCs w:val="16"/>
          <w:color w:val="auto"/>
        </w:rPr>
        <w:t>3.3</w:t>
        <w:tab/>
        <w:t>In the event of a reincorporation or other corporate reorganization resulting in the substitution of other securities for the Shares, then the new securities will automatically replace the shares originally specified in the Plan.</w:t>
      </w:r>
    </w:p>
    <w:p>
      <w:pPr>
        <w:spacing w:after="0" w:line="61" w:lineRule="exact"/>
        <w:rPr>
          <w:sz w:val="20"/>
          <w:szCs w:val="20"/>
          <w:color w:val="auto"/>
        </w:rPr>
      </w:pPr>
    </w:p>
    <w:p>
      <w:pPr>
        <w:ind w:left="420" w:right="200" w:hanging="647"/>
        <w:spacing w:after="0" w:line="286" w:lineRule="auto"/>
        <w:tabs>
          <w:tab w:leader="none" w:pos="400" w:val="left"/>
        </w:tabs>
        <w:rPr>
          <w:sz w:val="20"/>
          <w:szCs w:val="20"/>
          <w:color w:val="auto"/>
        </w:rPr>
      </w:pPr>
      <w:r>
        <w:rPr>
          <w:rFonts w:ascii="Arial" w:cs="Arial" w:eastAsia="Arial" w:hAnsi="Arial"/>
          <w:sz w:val="16"/>
          <w:szCs w:val="16"/>
          <w:color w:val="auto"/>
        </w:rPr>
        <w:t>3.4</w:t>
        <w:tab/>
        <w:t>Client understands that GS Entity or Broker may be unable to effect sales under the Plan consistent with ordinary principles of best execution due to insufficient volume of trading, failure of the Shares to reach and sustain a limit order price, or other market factors in effect on the date of a sale.</w:t>
      </w:r>
    </w:p>
    <w:p>
      <w:pPr>
        <w:spacing w:after="0" w:line="48"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3.5</w:t>
        <w:tab/>
        <w:t>Suspension: Transactions of Shares pursuant to the Plan shall be suspended where: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 Trading of the Shares on the principal exchange or market on which the Shares trade is suspended for any reason;</w:t>
      </w:r>
    </w:p>
    <w:p>
      <w:pPr>
        <w:spacing w:after="0" w:line="113" w:lineRule="exact"/>
        <w:rPr>
          <w:sz w:val="20"/>
          <w:szCs w:val="20"/>
          <w:color w:val="auto"/>
        </w:rPr>
      </w:pPr>
    </w:p>
    <w:p>
      <w:pPr>
        <w:ind w:left="980" w:right="360" w:hanging="324"/>
        <w:spacing w:after="0" w:line="304" w:lineRule="auto"/>
        <w:tabs>
          <w:tab w:leader="none" w:pos="971" w:val="left"/>
        </w:tabs>
        <w:numPr>
          <w:ilvl w:val="0"/>
          <w:numId w:val="25"/>
        </w:numPr>
        <w:rPr>
          <w:rFonts w:ascii="Arial" w:cs="Arial" w:eastAsia="Arial" w:hAnsi="Arial"/>
          <w:sz w:val="16"/>
          <w:szCs w:val="16"/>
          <w:color w:val="auto"/>
        </w:rPr>
      </w:pPr>
      <w:r>
        <w:rPr>
          <w:rFonts w:ascii="Arial" w:cs="Arial" w:eastAsia="Arial" w:hAnsi="Arial"/>
          <w:sz w:val="16"/>
          <w:szCs w:val="16"/>
          <w:color w:val="auto"/>
        </w:rPr>
        <w:t>GS Entity or one of its affiliates, in its sole discretion, determines that there is a legal, regulatory, or contractual reason why it cannot effect transactions of Shares pursuant to the Plan; or</w:t>
      </w:r>
    </w:p>
    <w:p>
      <w:pPr>
        <w:spacing w:after="0" w:line="33" w:lineRule="exact"/>
        <w:rPr>
          <w:rFonts w:ascii="Arial" w:cs="Arial" w:eastAsia="Arial" w:hAnsi="Arial"/>
          <w:sz w:val="16"/>
          <w:szCs w:val="16"/>
          <w:color w:val="auto"/>
        </w:rPr>
      </w:pPr>
    </w:p>
    <w:p>
      <w:pPr>
        <w:ind w:left="980" w:right="120" w:hanging="324"/>
        <w:spacing w:after="0" w:line="275" w:lineRule="auto"/>
        <w:tabs>
          <w:tab w:leader="none" w:pos="962" w:val="left"/>
        </w:tabs>
        <w:numPr>
          <w:ilvl w:val="0"/>
          <w:numId w:val="25"/>
        </w:numPr>
        <w:rPr>
          <w:rFonts w:ascii="Arial" w:cs="Arial" w:eastAsia="Arial" w:hAnsi="Arial"/>
          <w:sz w:val="16"/>
          <w:szCs w:val="16"/>
          <w:color w:val="auto"/>
        </w:rPr>
      </w:pPr>
      <w:r>
        <w:rPr>
          <w:rFonts w:ascii="Arial" w:cs="Arial" w:eastAsia="Arial" w:hAnsi="Arial"/>
          <w:sz w:val="16"/>
          <w:szCs w:val="16"/>
          <w:color w:val="auto"/>
        </w:rPr>
        <w:t>GS Entity or one of its affiliates is notified in writing by Issuer, or by Client with the written acknowledgement of Issuer, that a transaction of Shares should not be effected due to legal, regulatory, or contractual restrictions applicable to Issuer or to Client (including, without limitation, Regulation M or a modification to a sales plan with another broker-dealer or agent that was permitted pursuant to Rule 10b5-1(c)(1)(ii)(D)(1)).</w:t>
      </w:r>
    </w:p>
    <w:p>
      <w:pPr>
        <w:spacing w:after="0" w:line="56" w:lineRule="exact"/>
        <w:rPr>
          <w:sz w:val="20"/>
          <w:szCs w:val="20"/>
          <w:color w:val="auto"/>
        </w:rPr>
      </w:pPr>
    </w:p>
    <w:p>
      <w:pPr>
        <w:ind w:left="660" w:right="240" w:hanging="467"/>
        <w:spacing w:after="0" w:line="304" w:lineRule="auto"/>
        <w:rPr>
          <w:sz w:val="20"/>
          <w:szCs w:val="20"/>
          <w:color w:val="auto"/>
        </w:rPr>
      </w:pPr>
      <w:r>
        <w:rPr>
          <w:rFonts w:ascii="Arial" w:cs="Arial" w:eastAsia="Arial" w:hAnsi="Arial"/>
          <w:sz w:val="16"/>
          <w:szCs w:val="16"/>
          <w:color w:val="auto"/>
        </w:rPr>
        <w:t>In the case of the occurrence of an event described in 3.5a. or 3.5b. above, GS Entity will resume transactions in accordance with the Plan when, in its sole discretion, GS Entity determines that transactions may resume.</w:t>
      </w:r>
    </w:p>
    <w:p>
      <w:pPr>
        <w:spacing w:after="0" w:line="33" w:lineRule="exact"/>
        <w:rPr>
          <w:sz w:val="20"/>
          <w:szCs w:val="20"/>
          <w:color w:val="auto"/>
        </w:rPr>
      </w:pPr>
    </w:p>
    <w:p>
      <w:pPr>
        <w:ind w:left="660" w:right="480" w:hanging="467"/>
        <w:spacing w:after="0" w:line="275" w:lineRule="auto"/>
        <w:rPr>
          <w:sz w:val="20"/>
          <w:szCs w:val="20"/>
          <w:color w:val="auto"/>
        </w:rPr>
      </w:pPr>
      <w:r>
        <w:rPr>
          <w:rFonts w:ascii="Arial" w:cs="Arial" w:eastAsia="Arial" w:hAnsi="Arial"/>
          <w:sz w:val="16"/>
          <w:szCs w:val="16"/>
          <w:color w:val="auto"/>
        </w:rPr>
        <w:t>In the case of the occurrence of an event described in 3.5c. above, GS Entity will resume transactions in accordance with the Plan as promptly as practicable after GS Entity receives notice in writing by Issuer, or by Client with the written acknowledgement of Issuer, that transactions may resume.</w:t>
      </w:r>
    </w:p>
    <w:p>
      <w:pPr>
        <w:spacing w:after="0" w:line="56" w:lineRule="exact"/>
        <w:rPr>
          <w:sz w:val="20"/>
          <w:szCs w:val="20"/>
          <w:color w:val="auto"/>
        </w:rPr>
      </w:pPr>
    </w:p>
    <w:p>
      <w:pPr>
        <w:ind w:left="660" w:right="3300" w:hanging="467"/>
        <w:spacing w:after="0" w:line="304" w:lineRule="auto"/>
        <w:rPr>
          <w:sz w:val="20"/>
          <w:szCs w:val="20"/>
          <w:color w:val="auto"/>
        </w:rPr>
      </w:pPr>
      <w:r>
        <w:rPr>
          <w:rFonts w:ascii="Arial" w:cs="Arial" w:eastAsia="Arial" w:hAnsi="Arial"/>
          <w:sz w:val="16"/>
          <w:szCs w:val="16"/>
          <w:color w:val="auto"/>
        </w:rPr>
        <w:t>Shares allocated under the Plan during a period that has elapsed due to a suspension arising from an event described in 3.5a., 3.5b.:</w:t>
      </w:r>
    </w:p>
    <w:p>
      <w:pPr>
        <w:spacing w:after="0" w:line="263" w:lineRule="exact"/>
        <w:rPr>
          <w:sz w:val="20"/>
          <w:szCs w:val="20"/>
          <w:color w:val="auto"/>
        </w:rPr>
      </w:pPr>
    </w:p>
    <w:p>
      <w:pPr>
        <w:ind w:left="1160" w:right="2220" w:hanging="418"/>
        <w:spacing w:after="0" w:line="196" w:lineRule="auto"/>
        <w:tabs>
          <w:tab w:leader="none" w:pos="1160" w:val="left"/>
        </w:tabs>
        <w:numPr>
          <w:ilvl w:val="0"/>
          <w:numId w:val="26"/>
        </w:numPr>
        <w:rPr>
          <w:rFonts w:ascii="MS PGothic" w:cs="MS PGothic" w:eastAsia="MS PGothic" w:hAnsi="MS PGothic"/>
          <w:sz w:val="32"/>
          <w:szCs w:val="32"/>
          <w:color w:val="auto"/>
          <w:vertAlign w:val="superscript"/>
        </w:rPr>
      </w:pPr>
      <w:r>
        <w:rPr>
          <w:rFonts w:ascii="Arial" w:cs="Arial" w:eastAsia="Arial" w:hAnsi="Arial"/>
          <w:sz w:val="16"/>
          <w:szCs w:val="16"/>
          <w:color w:val="auto"/>
        </w:rPr>
        <w:t xml:space="preserve">will carry forward as follows, in accordance with instructions described in, and assuming that orders related to such Shares did not expire pursuant to, </w:t>
      </w:r>
      <w:r>
        <w:rPr>
          <w:rFonts w:ascii="Arial" w:cs="Arial" w:eastAsia="Arial" w:hAnsi="Arial"/>
          <w:sz w:val="16"/>
          <w:szCs w:val="16"/>
          <w:b w:val="1"/>
          <w:bCs w:val="1"/>
          <w:u w:val="single" w:color="auto"/>
          <w:color w:val="auto"/>
        </w:rPr>
        <w:t>SECTION III</w:t>
      </w:r>
    </w:p>
    <w:p>
      <w:pPr>
        <w:ind w:left="1160" w:hanging="418"/>
        <w:spacing w:after="0" w:line="206" w:lineRule="auto"/>
        <w:tabs>
          <w:tab w:leader="none" w:pos="1160" w:val="left"/>
        </w:tabs>
        <w:numPr>
          <w:ilvl w:val="0"/>
          <w:numId w:val="27"/>
        </w:numPr>
        <w:rPr>
          <w:rFonts w:ascii="MS PGothic" w:cs="MS PGothic" w:eastAsia="MS PGothic" w:hAnsi="MS PGothic"/>
          <w:sz w:val="32"/>
          <w:szCs w:val="32"/>
          <w:color w:val="auto"/>
          <w:vertAlign w:val="superscript"/>
        </w:rPr>
      </w:pPr>
      <w:r>
        <w:rPr>
          <w:rFonts w:ascii="Arial" w:cs="Arial" w:eastAsia="Arial" w:hAnsi="Arial"/>
          <w:sz w:val="16"/>
          <w:szCs w:val="16"/>
          <w:color w:val="auto"/>
        </w:rPr>
        <w:t>will carry forward to the first trading day following such suspension</w:t>
      </w:r>
    </w:p>
    <w:p>
      <w:pPr>
        <w:spacing w:after="0" w:line="85" w:lineRule="exact"/>
        <w:rPr>
          <w:rFonts w:ascii="MS PGothic" w:cs="MS PGothic" w:eastAsia="MS PGothic" w:hAnsi="MS PGothic"/>
          <w:sz w:val="32"/>
          <w:szCs w:val="32"/>
          <w:color w:val="auto"/>
          <w:vertAlign w:val="superscript"/>
        </w:rPr>
      </w:pPr>
    </w:p>
    <w:p>
      <w:pPr>
        <w:ind w:left="1160" w:hanging="418"/>
        <w:spacing w:after="0" w:line="183" w:lineRule="auto"/>
        <w:tabs>
          <w:tab w:leader="none" w:pos="1160" w:val="left"/>
        </w:tabs>
        <w:numPr>
          <w:ilvl w:val="0"/>
          <w:numId w:val="27"/>
        </w:numPr>
        <w:rPr>
          <w:rFonts w:ascii="MS PGothic" w:cs="MS PGothic" w:eastAsia="MS PGothic" w:hAnsi="MS PGothic"/>
          <w:sz w:val="26"/>
          <w:szCs w:val="26"/>
          <w:color w:val="auto"/>
          <w:vertAlign w:val="superscript"/>
        </w:rPr>
      </w:pPr>
      <w:r>
        <w:rPr>
          <w:rFonts w:ascii="Arial" w:cs="Arial" w:eastAsia="Arial" w:hAnsi="Arial"/>
          <w:sz w:val="14"/>
          <w:szCs w:val="14"/>
          <w:color w:val="auto"/>
        </w:rPr>
        <w:t>will be grouped with the following amount of shares in the next Trade Date</w:t>
      </w:r>
    </w:p>
    <w:p>
      <w:pPr>
        <w:spacing w:after="0" w:line="85" w:lineRule="exact"/>
        <w:rPr>
          <w:rFonts w:ascii="MS PGothic" w:cs="MS PGothic" w:eastAsia="MS PGothic" w:hAnsi="MS PGothic"/>
          <w:sz w:val="26"/>
          <w:szCs w:val="26"/>
          <w:color w:val="auto"/>
          <w:vertAlign w:val="superscript"/>
        </w:rPr>
      </w:pPr>
    </w:p>
    <w:p>
      <w:pPr>
        <w:ind w:left="1160" w:hanging="418"/>
        <w:spacing w:after="0" w:line="183" w:lineRule="auto"/>
        <w:tabs>
          <w:tab w:leader="none" w:pos="1160" w:val="left"/>
        </w:tabs>
        <w:numPr>
          <w:ilvl w:val="0"/>
          <w:numId w:val="27"/>
        </w:numPr>
        <w:rPr>
          <w:rFonts w:ascii="MS PGothic" w:cs="MS PGothic" w:eastAsia="MS PGothic" w:hAnsi="MS PGothic"/>
          <w:sz w:val="26"/>
          <w:szCs w:val="26"/>
          <w:color w:val="auto"/>
          <w:vertAlign w:val="superscript"/>
        </w:rPr>
      </w:pPr>
      <w:r>
        <w:rPr>
          <w:rFonts w:ascii="Arial" w:cs="Arial" w:eastAsia="Arial" w:hAnsi="Arial"/>
          <w:sz w:val="14"/>
          <w:szCs w:val="14"/>
          <w:color w:val="auto"/>
        </w:rPr>
        <w:t>will not carry forward and shall be cancelled</w:t>
      </w:r>
    </w:p>
    <w:p>
      <w:pPr>
        <w:spacing w:after="0" w:line="85" w:lineRule="exact"/>
        <w:rPr>
          <w:rFonts w:ascii="MS PGothic" w:cs="MS PGothic" w:eastAsia="MS PGothic" w:hAnsi="MS PGothic"/>
          <w:sz w:val="26"/>
          <w:szCs w:val="26"/>
          <w:color w:val="auto"/>
          <w:vertAlign w:val="superscript"/>
        </w:rPr>
      </w:pPr>
    </w:p>
    <w:p>
      <w:pPr>
        <w:ind w:left="1160" w:hanging="418"/>
        <w:spacing w:after="0" w:line="183" w:lineRule="auto"/>
        <w:tabs>
          <w:tab w:leader="none" w:pos="1160" w:val="left"/>
        </w:tabs>
        <w:numPr>
          <w:ilvl w:val="0"/>
          <w:numId w:val="27"/>
        </w:numPr>
        <w:rPr>
          <w:rFonts w:ascii="MS PGothic" w:cs="MS PGothic" w:eastAsia="MS PGothic" w:hAnsi="MS PGothic"/>
          <w:sz w:val="26"/>
          <w:szCs w:val="26"/>
          <w:color w:val="auto"/>
          <w:vertAlign w:val="superscript"/>
        </w:rPr>
      </w:pPr>
      <w:r>
        <w:rPr>
          <w:rFonts w:ascii="Arial" w:cs="Arial" w:eastAsia="Arial" w:hAnsi="Arial"/>
          <w:sz w:val="14"/>
          <w:szCs w:val="14"/>
          <w:u w:val="single" w:color="auto"/>
          <w:color w:val="auto"/>
        </w:rPr>
        <w:t>other:</w:t>
      </w:r>
    </w:p>
    <w:p>
      <w:pPr>
        <w:spacing w:after="0" w:line="339" w:lineRule="exact"/>
        <w:rPr>
          <w:sz w:val="20"/>
          <w:szCs w:val="20"/>
          <w:color w:val="auto"/>
        </w:rPr>
      </w:pPr>
    </w:p>
    <w:p>
      <w:pPr>
        <w:ind w:left="660" w:right="160"/>
        <w:spacing w:after="0" w:line="286" w:lineRule="auto"/>
        <w:rPr>
          <w:sz w:val="20"/>
          <w:szCs w:val="20"/>
          <w:color w:val="auto"/>
        </w:rPr>
      </w:pPr>
      <w:r>
        <w:rPr>
          <w:rFonts w:ascii="Arial" w:cs="Arial" w:eastAsia="Arial" w:hAnsi="Arial"/>
          <w:sz w:val="16"/>
          <w:szCs w:val="16"/>
          <w:color w:val="auto"/>
        </w:rPr>
        <w:t>For the avoidance of doubt, all orders related to sales scheduled to be effected during a suspension arising from an event described in 3.5c. shall be deemed to be cancelled and shall not be effected pursuant to this Plan.</w:t>
      </w:r>
    </w:p>
    <w:p>
      <w:pPr>
        <w:spacing w:after="0" w:line="183"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3.6</w:t>
        <w:tab/>
        <w:t>Termination: The Plan shall terminate on the earliest to occur of the following:</w:t>
      </w:r>
    </w:p>
    <w:p>
      <w:pPr>
        <w:spacing w:after="0" w:line="127" w:lineRule="exact"/>
        <w:rPr>
          <w:sz w:val="20"/>
          <w:szCs w:val="20"/>
          <w:color w:val="auto"/>
        </w:rPr>
      </w:pPr>
    </w:p>
    <w:p>
      <w:pPr>
        <w:ind w:left="960" w:hanging="304"/>
        <w:spacing w:after="0"/>
        <w:tabs>
          <w:tab w:leader="none" w:pos="9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The termination date specified in </w:t>
      </w:r>
      <w:r>
        <w:rPr>
          <w:rFonts w:ascii="Arial" w:cs="Arial" w:eastAsia="Arial" w:hAnsi="Arial"/>
          <w:sz w:val="16"/>
          <w:szCs w:val="16"/>
          <w:b w:val="1"/>
          <w:bCs w:val="1"/>
          <w:u w:val="single" w:color="auto"/>
          <w:color w:val="auto"/>
        </w:rPr>
        <w:t>SECTION III</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960" w:hanging="304"/>
        <w:spacing w:after="0"/>
        <w:tabs>
          <w:tab w:leader="none" w:pos="9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The completion of all transactions in </w:t>
      </w:r>
      <w:r>
        <w:rPr>
          <w:rFonts w:ascii="Arial" w:cs="Arial" w:eastAsia="Arial" w:hAnsi="Arial"/>
          <w:sz w:val="16"/>
          <w:szCs w:val="16"/>
          <w:b w:val="1"/>
          <w:bCs w:val="1"/>
          <w:u w:val="single" w:color="auto"/>
          <w:color w:val="auto"/>
        </w:rPr>
        <w:t>SECTION III</w:t>
      </w:r>
      <w:r>
        <w:rPr>
          <w:rFonts w:ascii="Arial" w:cs="Arial" w:eastAsia="Arial" w:hAnsi="Arial"/>
          <w:sz w:val="16"/>
          <w:szCs w:val="16"/>
          <w:color w:val="auto"/>
        </w:rPr>
        <w:t>;</w:t>
      </w:r>
    </w:p>
    <w:p>
      <w:pPr>
        <w:spacing w:after="0" w:line="200" w:lineRule="exact"/>
        <w:rPr>
          <w:sz w:val="20"/>
          <w:szCs w:val="20"/>
          <w:color w:val="auto"/>
        </w:rPr>
      </w:pPr>
    </w:p>
    <w:p>
      <w:pPr>
        <w:spacing w:after="0" w:line="377" w:lineRule="exact"/>
        <w:rPr>
          <w:sz w:val="20"/>
          <w:szCs w:val="20"/>
          <w:color w:val="auto"/>
        </w:rPr>
      </w:pPr>
    </w:p>
    <w:p>
      <w:pPr>
        <w:ind w:left="540"/>
        <w:spacing w:after="0"/>
        <w:rPr>
          <w:sz w:val="20"/>
          <w:szCs w:val="20"/>
          <w:color w:val="auto"/>
        </w:rPr>
      </w:pPr>
      <w:r>
        <w:rPr>
          <w:rFonts w:ascii="Arial" w:cs="Arial" w:eastAsia="Arial" w:hAnsi="Arial"/>
          <w:sz w:val="14"/>
          <w:szCs w:val="14"/>
          <w:u w:val="single" w:color="auto"/>
          <w:color w:val="0563C1"/>
        </w:rPr>
        <w:t xml:space="preserve">Table of Contents </w:t>
      </w:r>
      <w:r>
        <w:rPr>
          <w:rFonts w:ascii="Arial" w:cs="Arial" w:eastAsia="Arial" w:hAnsi="Arial"/>
          <w:sz w:val="14"/>
          <w:szCs w:val="14"/>
          <w:u w:val="single" w:color="auto"/>
          <w:color w:val="000000"/>
        </w:rPr>
        <w:t>11</w:t>
      </w:r>
    </w:p>
    <w:p>
      <w:pPr>
        <w:sectPr>
          <w:pgSz w:w="11900" w:h="16838" w:orient="portrait"/>
          <w:cols w:equalWidth="0" w:num="1">
            <w:col w:w="11200"/>
          </w:cols>
          <w:pgMar w:left="320" w:top="1020" w:right="379" w:bottom="1440" w:gutter="0" w:footer="0" w:header="0"/>
        </w:sectPr>
      </w:pPr>
    </w:p>
    <w:bookmarkStart w:id="15" w:name="page16"/>
    <w:bookmarkEnd w:id="15"/>
    <w:p>
      <w:pPr>
        <w:ind w:left="2880"/>
        <w:spacing w:after="0"/>
        <w:rPr>
          <w:sz w:val="20"/>
          <w:szCs w:val="20"/>
          <w:color w:val="auto"/>
        </w:rPr>
      </w:pPr>
      <w:r>
        <w:rPr>
          <w:rFonts w:ascii="Arial" w:cs="Arial" w:eastAsia="Arial" w:hAnsi="Arial"/>
          <w:sz w:val="36"/>
          <w:szCs w:val="36"/>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445770" cy="4457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445770" cy="445770"/>
                    </a:xfrm>
                    <a:prstGeom prst="rect">
                      <a:avLst/>
                    </a:prstGeom>
                    <a:noFill/>
                  </pic:spPr>
                </pic:pic>
              </a:graphicData>
            </a:graphic>
          </wp:anchor>
        </w:drawing>
        <w:t>10b5-1 Plan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980" w:right="700" w:hanging="324"/>
        <w:spacing w:after="0" w:line="275" w:lineRule="auto"/>
        <w:tabs>
          <w:tab w:leader="none" w:pos="962" w:val="left"/>
        </w:tabs>
        <w:numPr>
          <w:ilvl w:val="0"/>
          <w:numId w:val="29"/>
        </w:numPr>
        <w:rPr>
          <w:rFonts w:ascii="Arial" w:cs="Arial" w:eastAsia="Arial" w:hAnsi="Arial"/>
          <w:sz w:val="16"/>
          <w:szCs w:val="16"/>
          <w:color w:val="auto"/>
        </w:rPr>
      </w:pPr>
      <w:r>
        <w:rPr>
          <w:rFonts w:ascii="Arial" w:cs="Arial" w:eastAsia="Arial" w:hAnsi="Arial"/>
          <w:sz w:val="16"/>
          <w:szCs w:val="16"/>
          <w:color w:val="auto"/>
        </w:rPr>
        <w:t>GS Entity’s reasonable determination that: (i) the Plan does not comply with Rule 10b5-1(c) or other applicable laws, (ii) Client has not complied with the Plan, or (iii) Client’s representations or warranties are not true and correct, or Client can no longer make such representations and warranties;</w:t>
      </w:r>
    </w:p>
    <w:p>
      <w:pPr>
        <w:spacing w:after="0" w:line="69" w:lineRule="exact"/>
        <w:rPr>
          <w:rFonts w:ascii="Arial" w:cs="Arial" w:eastAsia="Arial" w:hAnsi="Arial"/>
          <w:sz w:val="16"/>
          <w:szCs w:val="16"/>
          <w:color w:val="auto"/>
        </w:rPr>
      </w:pPr>
    </w:p>
    <w:p>
      <w:pPr>
        <w:ind w:left="980" w:hanging="324"/>
        <w:spacing w:after="0"/>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GS Entity receives notice of the death, dissolution, liquidation, bankruptcy, or insolvency of any Client or the Issuer, as applicable;</w:t>
      </w:r>
    </w:p>
    <w:p>
      <w:pPr>
        <w:spacing w:after="0" w:line="113" w:lineRule="exact"/>
        <w:rPr>
          <w:rFonts w:ascii="Arial" w:cs="Arial" w:eastAsia="Arial" w:hAnsi="Arial"/>
          <w:sz w:val="16"/>
          <w:szCs w:val="16"/>
          <w:color w:val="auto"/>
        </w:rPr>
      </w:pPr>
    </w:p>
    <w:p>
      <w:pPr>
        <w:ind w:left="980" w:right="280" w:hanging="324"/>
        <w:spacing w:after="0" w:line="286" w:lineRule="auto"/>
        <w:tabs>
          <w:tab w:leader="none" w:pos="971" w:val="left"/>
        </w:tabs>
        <w:numPr>
          <w:ilvl w:val="0"/>
          <w:numId w:val="29"/>
        </w:numPr>
        <w:rPr>
          <w:rFonts w:ascii="Arial" w:cs="Arial" w:eastAsia="Arial" w:hAnsi="Arial"/>
          <w:sz w:val="16"/>
          <w:szCs w:val="16"/>
          <w:color w:val="auto"/>
        </w:rPr>
      </w:pPr>
      <w:r>
        <w:rPr>
          <w:rFonts w:ascii="Arial" w:cs="Arial" w:eastAsia="Arial" w:hAnsi="Arial"/>
          <w:sz w:val="16"/>
          <w:szCs w:val="16"/>
          <w:color w:val="auto"/>
        </w:rPr>
        <w:t>GS Entity receives notice of the closing of a merger, recapitalization, acquisition, tender or exchange offer, or other business combination or reorganization resulting in the exchange or conversion of Shares of Issuer into shares of another company;</w:t>
      </w:r>
    </w:p>
    <w:p>
      <w:pPr>
        <w:spacing w:after="0" w:line="61" w:lineRule="exact"/>
        <w:rPr>
          <w:rFonts w:ascii="Arial" w:cs="Arial" w:eastAsia="Arial" w:hAnsi="Arial"/>
          <w:sz w:val="16"/>
          <w:szCs w:val="16"/>
          <w:color w:val="auto"/>
        </w:rPr>
      </w:pPr>
    </w:p>
    <w:p>
      <w:pPr>
        <w:ind w:left="920" w:hanging="264"/>
        <w:spacing w:after="0"/>
        <w:tabs>
          <w:tab w:leader="none" w:pos="9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stock of Issuer is no longer listed on a national securities exchange; or</w:t>
      </w:r>
    </w:p>
    <w:p>
      <w:pPr>
        <w:spacing w:after="0" w:line="113" w:lineRule="exact"/>
        <w:rPr>
          <w:rFonts w:ascii="Arial" w:cs="Arial" w:eastAsia="Arial" w:hAnsi="Arial"/>
          <w:sz w:val="16"/>
          <w:szCs w:val="16"/>
          <w:color w:val="auto"/>
        </w:rPr>
      </w:pPr>
    </w:p>
    <w:p>
      <w:pPr>
        <w:ind w:left="980" w:right="1220" w:hanging="324"/>
        <w:spacing w:after="0" w:line="304" w:lineRule="auto"/>
        <w:tabs>
          <w:tab w:leader="none" w:pos="971"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GS Entity receives notice in writing of termination of the Plan from Client substantially in the form of </w:t>
      </w:r>
      <w:r>
        <w:rPr>
          <w:rFonts w:ascii="Arial" w:cs="Arial" w:eastAsia="Arial" w:hAnsi="Arial"/>
          <w:sz w:val="16"/>
          <w:szCs w:val="16"/>
          <w:b w:val="1"/>
          <w:bCs w:val="1"/>
          <w:color w:val="auto"/>
        </w:rPr>
        <w:t>ANNEX A</w:t>
      </w:r>
      <w:r>
        <w:rPr>
          <w:rFonts w:ascii="Arial" w:cs="Arial" w:eastAsia="Arial" w:hAnsi="Arial"/>
          <w:sz w:val="16"/>
          <w:szCs w:val="16"/>
          <w:color w:val="auto"/>
        </w:rPr>
        <w:t>, with the written acknowledgement of Issuer.</w:t>
      </w:r>
    </w:p>
    <w:p>
      <w:pPr>
        <w:spacing w:after="0" w:line="33" w:lineRule="exact"/>
        <w:rPr>
          <w:sz w:val="20"/>
          <w:szCs w:val="20"/>
          <w:color w:val="auto"/>
        </w:rPr>
      </w:pPr>
    </w:p>
    <w:p>
      <w:pPr>
        <w:ind w:left="660" w:right="60"/>
        <w:spacing w:after="0" w:line="286" w:lineRule="auto"/>
        <w:rPr>
          <w:sz w:val="20"/>
          <w:szCs w:val="20"/>
          <w:color w:val="auto"/>
        </w:rPr>
      </w:pPr>
      <w:r>
        <w:rPr>
          <w:rFonts w:ascii="Arial" w:cs="Arial" w:eastAsia="Arial" w:hAnsi="Arial"/>
          <w:sz w:val="16"/>
          <w:szCs w:val="16"/>
          <w:color w:val="auto"/>
        </w:rPr>
        <w:t xml:space="preserve">Client acknowledges that the termination of the Plan before completion or expiration without execution of all transactions in </w:t>
      </w:r>
      <w:r>
        <w:rPr>
          <w:rFonts w:ascii="Arial" w:cs="Arial" w:eastAsia="Arial" w:hAnsi="Arial"/>
          <w:sz w:val="16"/>
          <w:szCs w:val="16"/>
          <w:b w:val="1"/>
          <w:bCs w:val="1"/>
          <w:u w:val="single" w:color="auto"/>
          <w:color w:val="auto"/>
        </w:rPr>
        <w:t>SECTION III</w:t>
      </w:r>
      <w:r>
        <w:rPr>
          <w:rFonts w:ascii="Arial" w:cs="Arial" w:eastAsia="Arial" w:hAnsi="Arial"/>
          <w:sz w:val="16"/>
          <w:szCs w:val="16"/>
          <w:color w:val="auto"/>
        </w:rPr>
        <w:t xml:space="preserve"> may affect the eligibility of Client’s later-commencing stock trading plan for the affirmative defense under Rule 10b5-1(c)(1).</w:t>
      </w:r>
    </w:p>
    <w:p>
      <w:pPr>
        <w:spacing w:after="0" w:line="61"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3.7</w:t>
        <w:tab/>
        <w:t>Amendment: The Plan may be amended only in writing entered into by Client and GS Entity, and acknowledged in writing by Issuer.</w:t>
      </w:r>
    </w:p>
    <w:p>
      <w:pPr>
        <w:spacing w:after="0" w:line="113" w:lineRule="exact"/>
        <w:rPr>
          <w:sz w:val="20"/>
          <w:szCs w:val="20"/>
          <w:color w:val="auto"/>
        </w:rPr>
      </w:pPr>
    </w:p>
    <w:p>
      <w:pPr>
        <w:ind w:left="980" w:right="320" w:hanging="324"/>
        <w:spacing w:after="0" w:line="286" w:lineRule="auto"/>
        <w:tabs>
          <w:tab w:leader="none" w:pos="971" w:val="left"/>
        </w:tabs>
        <w:numPr>
          <w:ilvl w:val="0"/>
          <w:numId w:val="30"/>
        </w:numPr>
        <w:rPr>
          <w:rFonts w:ascii="Arial" w:cs="Arial" w:eastAsia="Arial" w:hAnsi="Arial"/>
          <w:sz w:val="16"/>
          <w:szCs w:val="16"/>
          <w:color w:val="auto"/>
        </w:rPr>
      </w:pPr>
      <w:r>
        <w:rPr>
          <w:rFonts w:ascii="Arial" w:cs="Arial" w:eastAsia="Arial" w:hAnsi="Arial"/>
          <w:sz w:val="16"/>
          <w:szCs w:val="16"/>
          <w:color w:val="auto"/>
        </w:rPr>
        <w:t>at a time when Client is otherwise permitted to effect transactions under Issuer’s trading policies, and does not possess material non-public information about Issuer or its securities, and</w:t>
      </w:r>
    </w:p>
    <w:p>
      <w:pPr>
        <w:spacing w:after="0" w:line="61" w:lineRule="exact"/>
        <w:rPr>
          <w:rFonts w:ascii="Arial" w:cs="Arial" w:eastAsia="Arial" w:hAnsi="Arial"/>
          <w:sz w:val="16"/>
          <w:szCs w:val="16"/>
          <w:color w:val="auto"/>
        </w:rPr>
      </w:pPr>
    </w:p>
    <w:p>
      <w:pPr>
        <w:ind w:left="980" w:hanging="324"/>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amendment does not violate or conflict with any policy of the Issuer, including the Issuer’s insider trading policy.</w:t>
      </w:r>
    </w:p>
    <w:p>
      <w:pPr>
        <w:spacing w:after="0" w:line="113" w:lineRule="exact"/>
        <w:rPr>
          <w:rFonts w:ascii="Arial" w:cs="Arial" w:eastAsia="Arial" w:hAnsi="Arial"/>
          <w:sz w:val="16"/>
          <w:szCs w:val="16"/>
          <w:color w:val="auto"/>
        </w:rPr>
      </w:pPr>
    </w:p>
    <w:p>
      <w:pPr>
        <w:ind w:left="980" w:right="280" w:hanging="324"/>
        <w:spacing w:after="0" w:line="304" w:lineRule="auto"/>
        <w:tabs>
          <w:tab w:leader="none" w:pos="962" w:val="left"/>
        </w:tabs>
        <w:numPr>
          <w:ilvl w:val="0"/>
          <w:numId w:val="30"/>
        </w:numPr>
        <w:rPr>
          <w:rFonts w:ascii="Arial" w:cs="Arial" w:eastAsia="Arial" w:hAnsi="Arial"/>
          <w:sz w:val="16"/>
          <w:szCs w:val="16"/>
          <w:color w:val="auto"/>
        </w:rPr>
      </w:pPr>
      <w:r>
        <w:rPr>
          <w:rFonts w:ascii="Arial" w:cs="Arial" w:eastAsia="Arial" w:hAnsi="Arial"/>
          <w:sz w:val="16"/>
          <w:szCs w:val="16"/>
          <w:color w:val="auto"/>
        </w:rPr>
        <w:t>to the best of Issuer’s knowledge, there are no legal, regulatory, contractual, or other restrictions applicable to Client or Client’s affiliates that would prohibit or limit Client from either entering into the amendment or any transaction pursuant to the amendment; and</w:t>
      </w:r>
    </w:p>
    <w:p>
      <w:pPr>
        <w:spacing w:after="0" w:line="33" w:lineRule="exact"/>
        <w:rPr>
          <w:rFonts w:ascii="Arial" w:cs="Arial" w:eastAsia="Arial" w:hAnsi="Arial"/>
          <w:sz w:val="16"/>
          <w:szCs w:val="16"/>
          <w:color w:val="auto"/>
        </w:rPr>
      </w:pPr>
    </w:p>
    <w:p>
      <w:pPr>
        <w:ind w:left="980" w:hanging="324"/>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to the best of Issuer’s knowledge, Client has not entered into any other plan for trading with respect to Securities other than the amendment.</w:t>
      </w:r>
    </w:p>
    <w:p>
      <w:pPr>
        <w:spacing w:after="0" w:line="113" w:lineRule="exact"/>
        <w:rPr>
          <w:sz w:val="20"/>
          <w:szCs w:val="20"/>
          <w:color w:val="auto"/>
        </w:rPr>
      </w:pPr>
    </w:p>
    <w:p>
      <w:pPr>
        <w:ind w:left="660" w:right="40" w:hanging="467"/>
        <w:spacing w:after="0" w:line="271" w:lineRule="auto"/>
        <w:rPr>
          <w:sz w:val="20"/>
          <w:szCs w:val="20"/>
          <w:color w:val="auto"/>
        </w:rPr>
      </w:pPr>
      <w:r>
        <w:rPr>
          <w:rFonts w:ascii="Arial" w:cs="Arial" w:eastAsia="Arial" w:hAnsi="Arial"/>
          <w:sz w:val="16"/>
          <w:szCs w:val="16"/>
          <w:color w:val="auto"/>
        </w:rPr>
        <w:t>Client understands Plan amendments may bring into question the “good faith” aspect of Rule 10b5-1(c) and such instructions to amend a previously adopted trading plan could potentially jeopardize the affirmative defense described thereunder. Client further understands that any modification or change to the amount, price, or timing of the transactions under the Plan is a termination of the Plan and the adoption of a new contract, instruction, or written stock trading plan subject to a new cooling off period applicable to Client pursuant to Rule 10b5-1(c)(1)(ii)(B).</w:t>
      </w:r>
    </w:p>
    <w:p>
      <w:pPr>
        <w:spacing w:after="0" w:line="60" w:lineRule="exact"/>
        <w:rPr>
          <w:sz w:val="20"/>
          <w:szCs w:val="20"/>
          <w:color w:val="auto"/>
        </w:rPr>
      </w:pPr>
    </w:p>
    <w:p>
      <w:pPr>
        <w:ind w:left="420" w:right="80" w:hanging="647"/>
        <w:spacing w:after="0" w:line="267" w:lineRule="auto"/>
        <w:tabs>
          <w:tab w:leader="none" w:pos="400" w:val="left"/>
        </w:tabs>
        <w:rPr>
          <w:sz w:val="20"/>
          <w:szCs w:val="20"/>
          <w:color w:val="auto"/>
        </w:rPr>
      </w:pPr>
      <w:r>
        <w:rPr>
          <w:rFonts w:ascii="Arial" w:cs="Arial" w:eastAsia="Arial" w:hAnsi="Arial"/>
          <w:sz w:val="16"/>
          <w:szCs w:val="16"/>
          <w:color w:val="auto"/>
        </w:rPr>
        <w:t>3.8</w:t>
        <w:tab/>
        <w:t>This Plan modifies and supplements any client agreement with the GS Entity (“Client Agreement”), solely for the purpose of effecting this Plan in accordance with the terms herein. In all other respects, the terms and conditions of such Client Agreement shall continue to govern the relationship with the GS Entity. Capitalized terms used in this Plan and not otherwise defined herein shall have the meanings specified in the Client Agreement. In the event of any inconsistency between the provisions of this Plan and the Client Agreement, this Plan shall prevail to the extent of such inconsistency.</w:t>
      </w:r>
    </w:p>
    <w:p>
      <w:pPr>
        <w:spacing w:after="0" w:line="261"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3.9</w:t>
        <w:tab/>
        <w:t>Indemnification</w:t>
      </w:r>
    </w:p>
    <w:p>
      <w:pPr>
        <w:spacing w:after="0" w:line="113" w:lineRule="exact"/>
        <w:rPr>
          <w:sz w:val="20"/>
          <w:szCs w:val="20"/>
          <w:color w:val="auto"/>
        </w:rPr>
      </w:pPr>
    </w:p>
    <w:p>
      <w:pPr>
        <w:ind w:left="660" w:hanging="467"/>
        <w:spacing w:after="0" w:line="259" w:lineRule="auto"/>
        <w:rPr>
          <w:sz w:val="20"/>
          <w:szCs w:val="20"/>
          <w:color w:val="auto"/>
        </w:rPr>
      </w:pPr>
      <w:r>
        <w:rPr>
          <w:rFonts w:ascii="Arial" w:cs="Arial" w:eastAsia="Arial" w:hAnsi="Arial"/>
          <w:sz w:val="16"/>
          <w:szCs w:val="16"/>
          <w:color w:val="auto"/>
        </w:rPr>
        <w:t>Client agrees that GS Entity and its affiliates and their respective directors, officers, employees, and agents (collectively, “</w:t>
      </w:r>
      <w:r>
        <w:rPr>
          <w:rFonts w:ascii="Arial" w:cs="Arial" w:eastAsia="Arial" w:hAnsi="Arial"/>
          <w:sz w:val="16"/>
          <w:szCs w:val="16"/>
          <w:b w:val="1"/>
          <w:bCs w:val="1"/>
          <w:color w:val="auto"/>
        </w:rPr>
        <w:t>GS Persons</w:t>
      </w:r>
      <w:r>
        <w:rPr>
          <w:rFonts w:ascii="Arial" w:cs="Arial" w:eastAsia="Arial" w:hAnsi="Arial"/>
          <w:sz w:val="16"/>
          <w:szCs w:val="16"/>
          <w:color w:val="auto"/>
        </w:rPr>
        <w:t>”) shall not have any liability whatsoever to Client for any action taken or omitted to be taken in connection with the Plan, any transaction under the Plan, or any amendment, modification, or termination of the Plan, unless such liability is determined in a non-appealable order of a court of competent jurisdiction to have resulted solely from the gross negligence, willful misconduct, or bad faith of the GS Person. Client further agrees to hold each GS Person free and harmless from any and all losses, damages, liabilities, or expenses (including reasonable attorneys’ fees and costs) incurred or sustained by such GS Person in connection with or arising out of any suit, action, or proceeding relating to the Plan, any transaction under the Plan, or any amendment, modification, or termination of the Plan (each an “Action”) and to reimburse each GS Person for its expenses, as they are incurred, in connection with any Action, unless such loss, damage, liability, or expense is determined in a non-appealable order of a court of competent jurisdiction to be solely the result of such GS Person’s gross negligence, willful misconduct, or bad faith. This 3.9 shall survive termination of the Plan.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40"/>
        <w:spacing w:after="0"/>
        <w:rPr>
          <w:sz w:val="20"/>
          <w:szCs w:val="20"/>
          <w:color w:val="auto"/>
        </w:rPr>
      </w:pPr>
      <w:r>
        <w:rPr>
          <w:rFonts w:ascii="Arial" w:cs="Arial" w:eastAsia="Arial" w:hAnsi="Arial"/>
          <w:sz w:val="14"/>
          <w:szCs w:val="14"/>
          <w:u w:val="single" w:color="auto"/>
          <w:color w:val="0563C1"/>
        </w:rPr>
        <w:t xml:space="preserve">Table of Contents </w:t>
      </w:r>
      <w:r>
        <w:rPr>
          <w:rFonts w:ascii="Arial" w:cs="Arial" w:eastAsia="Arial" w:hAnsi="Arial"/>
          <w:sz w:val="14"/>
          <w:szCs w:val="14"/>
          <w:u w:val="single" w:color="auto"/>
          <w:color w:val="000000"/>
        </w:rPr>
        <w:t>12</w:t>
      </w:r>
    </w:p>
    <w:p>
      <w:pPr>
        <w:sectPr>
          <w:pgSz w:w="11900" w:h="16838" w:orient="portrait"/>
          <w:cols w:equalWidth="0" w:num="1">
            <w:col w:w="11240"/>
          </w:cols>
          <w:pgMar w:left="320" w:top="1020" w:right="339" w:bottom="1440" w:gutter="0" w:footer="0" w:header="0"/>
        </w:sectPr>
      </w:pPr>
    </w:p>
    <w:bookmarkStart w:id="16" w:name="page17"/>
    <w:bookmarkEnd w:id="16"/>
    <w:p>
      <w:pPr>
        <w:ind w:left="2880"/>
        <w:spacing w:after="0"/>
        <w:rPr>
          <w:sz w:val="20"/>
          <w:szCs w:val="20"/>
          <w:color w:val="auto"/>
        </w:rPr>
      </w:pPr>
      <w:r>
        <w:rPr>
          <w:rFonts w:ascii="Arial" w:cs="Arial" w:eastAsia="Arial" w:hAnsi="Arial"/>
          <w:sz w:val="36"/>
          <w:szCs w:val="36"/>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445770" cy="4457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445770" cy="445770"/>
                    </a:xfrm>
                    <a:prstGeom prst="rect">
                      <a:avLst/>
                    </a:prstGeom>
                    <a:noFill/>
                  </pic:spPr>
                </pic:pic>
              </a:graphicData>
            </a:graphic>
          </wp:anchor>
        </w:drawing>
        <w:t>10b5-1 Plan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00" w:right="60" w:hanging="647"/>
        <w:spacing w:after="0" w:line="262" w:lineRule="auto"/>
        <w:tabs>
          <w:tab w:leader="none" w:pos="480" w:val="left"/>
        </w:tabs>
        <w:rPr>
          <w:sz w:val="20"/>
          <w:szCs w:val="20"/>
          <w:color w:val="auto"/>
        </w:rPr>
      </w:pPr>
      <w:r>
        <w:rPr>
          <w:rFonts w:ascii="Arial" w:cs="Arial" w:eastAsia="Arial" w:hAnsi="Arial"/>
          <w:sz w:val="16"/>
          <w:szCs w:val="16"/>
          <w:color w:val="auto"/>
        </w:rPr>
        <w:t>3.10</w:t>
        <w:tab/>
        <w:t>Where GSBZ is checked as the GS Entity on page 1, for the purpose of this Plan and any Transaction entered into hereunder, Client hereby explicitly authorizes GSBZ to communicate, forward any information and materials obtained from Client, or related to Client, including certain personal data relating to Client, beneficial owners, authorized signatories and other authorized persons on the account, to GSI, GSBE, Broker or their respective affiliates as is suitable. Client hereby releases GSBZ from all statutory or contractual secrecy obligations (including Swiss banking secrecy, securities dealers’ secrecy, financial privacy and/or data protection) with respect to the matters set forth above. Client agrees to the processing, storage and/or transfer of such data and understands and acknowledges that the affiliates of GSBZ are established in jurisdictions outside Switzerland that may not have data protection laws that afford an equivalent protection.</w:t>
      </w:r>
    </w:p>
    <w:p>
      <w:pPr>
        <w:spacing w:after="0" w:line="66" w:lineRule="exact"/>
        <w:rPr>
          <w:sz w:val="20"/>
          <w:szCs w:val="20"/>
          <w:color w:val="auto"/>
        </w:rPr>
      </w:pPr>
    </w:p>
    <w:p>
      <w:pPr>
        <w:ind w:left="660" w:right="60"/>
        <w:spacing w:after="0" w:line="259" w:lineRule="auto"/>
        <w:rPr>
          <w:sz w:val="20"/>
          <w:szCs w:val="20"/>
          <w:color w:val="auto"/>
        </w:rPr>
      </w:pPr>
      <w:r>
        <w:rPr>
          <w:rFonts w:ascii="Arial" w:cs="Arial" w:eastAsia="Arial" w:hAnsi="Arial"/>
          <w:sz w:val="16"/>
          <w:szCs w:val="16"/>
          <w:color w:val="auto"/>
        </w:rPr>
        <w:t>Where GSBE is checked as the GS Entity on page 1, for the purpose of this Plan and any Transaction entered into hereunder, Client hereby explicitly authorizes GSBE to communicate, forward any information and materials obtained from Client, or related to Client, including certain personal data relating to Client, beneficial owners, authorized signatories and other authorized persons on the account, to GSI, Broker or their respective affiliates as is suitable. Client hereby releases GSBE from all statutory or contractual secrecy obligations (including applicable banking secrecy, securities dealers’ secrecy, financial privacy and/or data protection) with respect to the matters set forth above. Client agrees to the processing, storage and/or transfer of such data and understands and acknowledges that the affiliates of GSBE are established in jurisdictions that may not have data protection laws that afford an equivalent protection.</w:t>
      </w:r>
    </w:p>
    <w:p>
      <w:pPr>
        <w:spacing w:after="0" w:line="21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3.11</w:t>
        <w:tab/>
        <w:t>Governing Law</w:t>
      </w:r>
    </w:p>
    <w:p>
      <w:pPr>
        <w:spacing w:after="0" w:line="113" w:lineRule="exact"/>
        <w:rPr>
          <w:sz w:val="20"/>
          <w:szCs w:val="20"/>
          <w:color w:val="auto"/>
        </w:rPr>
      </w:pPr>
    </w:p>
    <w:p>
      <w:pPr>
        <w:ind w:left="980" w:right="80" w:hanging="324"/>
        <w:spacing w:after="0" w:line="304" w:lineRule="auto"/>
        <w:tabs>
          <w:tab w:leader="none" w:pos="971" w:val="left"/>
        </w:tabs>
        <w:numPr>
          <w:ilvl w:val="1"/>
          <w:numId w:val="31"/>
        </w:numPr>
        <w:rPr>
          <w:rFonts w:ascii="Arial" w:cs="Arial" w:eastAsia="Arial" w:hAnsi="Arial"/>
          <w:sz w:val="16"/>
          <w:szCs w:val="16"/>
          <w:color w:val="auto"/>
        </w:rPr>
      </w:pPr>
      <w:r>
        <w:rPr>
          <w:rFonts w:ascii="Arial" w:cs="Arial" w:eastAsia="Arial" w:hAnsi="Arial"/>
          <w:sz w:val="16"/>
          <w:szCs w:val="16"/>
          <w:color w:val="auto"/>
        </w:rPr>
        <w:t>Subject to sub-paragraph (b) below, this Plan and each transaction entered into hereunder will be governed by, and construed and enforced in accordance with, the law of the State of New York without reference to its choice of law doctrine.</w:t>
      </w:r>
    </w:p>
    <w:p>
      <w:pPr>
        <w:spacing w:after="0" w:line="33" w:lineRule="exact"/>
        <w:rPr>
          <w:rFonts w:ascii="Arial" w:cs="Arial" w:eastAsia="Arial" w:hAnsi="Arial"/>
          <w:sz w:val="16"/>
          <w:szCs w:val="16"/>
          <w:color w:val="auto"/>
        </w:rPr>
      </w:pPr>
    </w:p>
    <w:p>
      <w:pPr>
        <w:ind w:left="980" w:hanging="324"/>
        <w:spacing w:after="0"/>
        <w:tabs>
          <w:tab w:leader="none" w:pos="9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Notwithstanding the foregoing where this Plan is entered into between Client and:</w:t>
      </w:r>
    </w:p>
    <w:p>
      <w:pPr>
        <w:spacing w:after="0" w:line="113" w:lineRule="exact"/>
        <w:rPr>
          <w:rFonts w:ascii="Arial" w:cs="Arial" w:eastAsia="Arial" w:hAnsi="Arial"/>
          <w:sz w:val="16"/>
          <w:szCs w:val="16"/>
          <w:color w:val="auto"/>
        </w:rPr>
      </w:pPr>
    </w:p>
    <w:p>
      <w:pPr>
        <w:ind w:left="1300" w:hanging="320"/>
        <w:spacing w:after="0" w:line="304" w:lineRule="auto"/>
        <w:tabs>
          <w:tab w:leader="none" w:pos="1300" w:val="left"/>
        </w:tabs>
        <w:numPr>
          <w:ilvl w:val="2"/>
          <w:numId w:val="31"/>
        </w:numPr>
        <w:rPr>
          <w:rFonts w:ascii="Arial" w:cs="Arial" w:eastAsia="Arial" w:hAnsi="Arial"/>
          <w:sz w:val="16"/>
          <w:szCs w:val="16"/>
          <w:color w:val="auto"/>
        </w:rPr>
      </w:pPr>
      <w:r>
        <w:rPr>
          <w:rFonts w:ascii="Arial" w:cs="Arial" w:eastAsia="Arial" w:hAnsi="Arial"/>
          <w:sz w:val="16"/>
          <w:szCs w:val="16"/>
          <w:color w:val="auto"/>
        </w:rPr>
        <w:t>GSI, GSALLC or GSSP as GS Entity, this Plan and all non-contractual obligations arising out of or in relation to this Plan shall be governed by, and construed and enforced in accordance with, English law;</w:t>
      </w:r>
    </w:p>
    <w:p>
      <w:pPr>
        <w:spacing w:after="0" w:line="33" w:lineRule="exact"/>
        <w:rPr>
          <w:rFonts w:ascii="Arial" w:cs="Arial" w:eastAsia="Arial" w:hAnsi="Arial"/>
          <w:sz w:val="16"/>
          <w:szCs w:val="16"/>
          <w:color w:val="auto"/>
        </w:rPr>
      </w:pPr>
    </w:p>
    <w:p>
      <w:pPr>
        <w:ind w:left="1300" w:right="680" w:hanging="320"/>
        <w:spacing w:after="0" w:line="304" w:lineRule="auto"/>
        <w:tabs>
          <w:tab w:leader="none" w:pos="1336" w:val="left"/>
        </w:tabs>
        <w:numPr>
          <w:ilvl w:val="2"/>
          <w:numId w:val="31"/>
        </w:numPr>
        <w:rPr>
          <w:rFonts w:ascii="Arial" w:cs="Arial" w:eastAsia="Arial" w:hAnsi="Arial"/>
          <w:sz w:val="16"/>
          <w:szCs w:val="16"/>
          <w:color w:val="auto"/>
        </w:rPr>
      </w:pPr>
      <w:r>
        <w:rPr>
          <w:rFonts w:ascii="Arial" w:cs="Arial" w:eastAsia="Arial" w:hAnsi="Arial"/>
          <w:sz w:val="16"/>
          <w:szCs w:val="16"/>
          <w:color w:val="auto"/>
        </w:rPr>
        <w:t>GSBE as GS Entity, this Plan and all non-contractual obligations arising out of or in relation to this Plan shall be governed by and construed in accordance with the governing law of the Client Agreement; or</w:t>
      </w:r>
    </w:p>
    <w:p>
      <w:pPr>
        <w:spacing w:after="0" w:line="33" w:lineRule="exact"/>
        <w:rPr>
          <w:rFonts w:ascii="Arial" w:cs="Arial" w:eastAsia="Arial" w:hAnsi="Arial"/>
          <w:sz w:val="16"/>
          <w:szCs w:val="16"/>
          <w:color w:val="auto"/>
        </w:rPr>
      </w:pPr>
    </w:p>
    <w:p>
      <w:pPr>
        <w:ind w:right="60" w:firstLine="8"/>
        <w:spacing w:after="0" w:line="259" w:lineRule="auto"/>
        <w:tabs>
          <w:tab w:leader="none" w:pos="396" w:val="left"/>
        </w:tabs>
        <w:numPr>
          <w:ilvl w:val="0"/>
          <w:numId w:val="32"/>
        </w:numPr>
        <w:rPr>
          <w:rFonts w:ascii="Arial" w:cs="Arial" w:eastAsia="Arial" w:hAnsi="Arial"/>
          <w:sz w:val="16"/>
          <w:szCs w:val="16"/>
          <w:color w:val="auto"/>
        </w:rPr>
      </w:pPr>
      <w:r>
        <w:rPr>
          <w:rFonts w:ascii="Arial" w:cs="Arial" w:eastAsia="Arial" w:hAnsi="Arial"/>
          <w:sz w:val="16"/>
          <w:szCs w:val="16"/>
          <w:color w:val="auto"/>
        </w:rPr>
        <w:t>GSBZ as GS Entity, this Plan is subject to Swiss law and in particular to Swiss mandate law according to art. 394 ss. of the Swiss Code of Obligations. For the avoidance of doubt the choice of Swiss law extends to the issues covered by the Hague Convention on the Law applicable to certain Rights in respect of Securities held with an Intermediary of 5 July 2006 (Hague Securities Convention). Place of performance, place for debt enforcement and collection proceedings for Client and venue for all proceedings is Zurich, Switzerland. GSBZ is, however, entitled to take legal action against the Client before any competent court or administrative authority in Switzerland or abroad. Swiss law shall also be applicable in such cases, provided that, all terms and phrases which are used in this Plan and which expressly refer to statutory provisions of the United States of America or any state thereof shall be governed by and construed in accordance with the federal laws of the United States of America and the law of the State of New York without regard to the choice of law provisions thereof.</w:t>
      </w:r>
    </w:p>
    <w:p>
      <w:pPr>
        <w:spacing w:after="0" w:line="200" w:lineRule="exact"/>
        <w:rPr>
          <w:sz w:val="20"/>
          <w:szCs w:val="20"/>
          <w:color w:val="auto"/>
        </w:rPr>
      </w:pPr>
    </w:p>
    <w:p>
      <w:pPr>
        <w:spacing w:after="0" w:line="336" w:lineRule="exact"/>
        <w:rPr>
          <w:sz w:val="20"/>
          <w:szCs w:val="20"/>
          <w:color w:val="auto"/>
        </w:rPr>
      </w:pPr>
    </w:p>
    <w:p>
      <w:pPr>
        <w:ind w:left="540"/>
        <w:spacing w:after="0"/>
        <w:rPr>
          <w:sz w:val="20"/>
          <w:szCs w:val="20"/>
          <w:color w:val="auto"/>
        </w:rPr>
      </w:pPr>
      <w:r>
        <w:rPr>
          <w:rFonts w:ascii="Arial" w:cs="Arial" w:eastAsia="Arial" w:hAnsi="Arial"/>
          <w:sz w:val="14"/>
          <w:szCs w:val="14"/>
          <w:u w:val="single" w:color="auto"/>
          <w:color w:val="0563C1"/>
        </w:rPr>
        <w:t xml:space="preserve">Table of Contents </w:t>
      </w:r>
      <w:r>
        <w:rPr>
          <w:rFonts w:ascii="Arial" w:cs="Arial" w:eastAsia="Arial" w:hAnsi="Arial"/>
          <w:sz w:val="14"/>
          <w:szCs w:val="14"/>
          <w:u w:val="single" w:color="auto"/>
          <w:color w:val="000000"/>
        </w:rPr>
        <w:t>13</w:t>
      </w:r>
    </w:p>
    <w:p>
      <w:pPr>
        <w:sectPr>
          <w:pgSz w:w="11900" w:h="16838" w:orient="portrait"/>
          <w:cols w:equalWidth="0" w:num="1">
            <w:col w:w="11220"/>
          </w:cols>
          <w:pgMar w:left="320" w:top="1020" w:right="359" w:bottom="1440" w:gutter="0" w:footer="0" w:header="0"/>
        </w:sectPr>
      </w:pPr>
    </w:p>
    <w:bookmarkStart w:id="17" w:name="page18"/>
    <w:bookmarkEnd w:id="17"/>
    <w:p>
      <w:pPr>
        <w:ind w:left="2880"/>
        <w:spacing w:after="0"/>
        <w:rPr>
          <w:sz w:val="20"/>
          <w:szCs w:val="20"/>
          <w:color w:val="auto"/>
        </w:rPr>
      </w:pPr>
      <w:r>
        <w:rPr>
          <w:rFonts w:ascii="Arial" w:cs="Arial" w:eastAsia="Arial" w:hAnsi="Arial"/>
          <w:sz w:val="36"/>
          <w:szCs w:val="36"/>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445770" cy="4457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445770" cy="445770"/>
                    </a:xfrm>
                    <a:prstGeom prst="rect">
                      <a:avLst/>
                    </a:prstGeom>
                    <a:noFill/>
                  </pic:spPr>
                </pic:pic>
              </a:graphicData>
            </a:graphic>
          </wp:anchor>
        </w:drawing>
        <w:t>10b5-1 Plan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ANNEXES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ANNEX A: TERMINATION NOTICE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00" w:hanging="392"/>
        <w:spacing w:after="0"/>
        <w:tabs>
          <w:tab w:leader="none" w:pos="4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[ISSUER]</w:t>
      </w:r>
    </w:p>
    <w:p>
      <w:pPr>
        <w:spacing w:after="0" w:line="200" w:lineRule="exact"/>
        <w:rPr>
          <w:sz w:val="20"/>
          <w:szCs w:val="20"/>
          <w:color w:val="auto"/>
        </w:rPr>
      </w:pPr>
    </w:p>
    <w:p>
      <w:pPr>
        <w:spacing w:after="0" w:line="278"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To:</w:t>
        <w:tab/>
        <w:t>[GS ENTITY],</w:t>
      </w:r>
    </w:p>
    <w:p>
      <w:pPr>
        <w:spacing w:after="0" w:line="200" w:lineRule="exact"/>
        <w:rPr>
          <w:sz w:val="20"/>
          <w:szCs w:val="20"/>
          <w:color w:val="auto"/>
        </w:rPr>
      </w:pPr>
    </w:p>
    <w:p>
      <w:pPr>
        <w:spacing w:after="0" w:line="264"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This notice hereby serves as a termination notice of the Plan, adopted on [PLAN ADOPTION DATE], to [BUY or SELL] shares of [ISSUER] ([TICKER]). Each of the undersigned Client(s) confirms that (a) Client(s) is/are terminating the Plan in good faith and not as part of a plan or scheme to evade the prohibitions of Rule 10b5-1, and (b) [ISSUER] has reviewed, and not objected to, this termination notice.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Regards,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100330</wp:posOffset>
            </wp:positionV>
            <wp:extent cx="6035040" cy="8318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5040" cy="831850"/>
                    </a:xfrm>
                    <a:prstGeom prst="rect">
                      <a:avLst/>
                    </a:prstGeom>
                    <a:noFill/>
                  </pic:spPr>
                </pic:pic>
              </a:graphicData>
            </a:graphic>
          </wp:anchor>
        </w:drawing>
      </w:r>
    </w:p>
    <w:p>
      <w:pPr>
        <w:spacing w:after="0" w:line="205" w:lineRule="exact"/>
        <w:rPr>
          <w:sz w:val="20"/>
          <w:szCs w:val="20"/>
          <w:color w:val="auto"/>
        </w:rPr>
      </w:pPr>
    </w:p>
    <w:tbl>
      <w:tblPr>
        <w:tblLayout w:type="fixed"/>
        <w:tblInd w:w="640" w:type="dxa"/>
        <w:tblCellMar>
          <w:top w:w="0" w:type="dxa"/>
          <w:left w:w="0" w:type="dxa"/>
          <w:bottom w:w="0" w:type="dxa"/>
          <w:right w:w="0" w:type="dxa"/>
        </w:tblCellMar>
      </w:tblPr>
      <w:tr>
        <w:trPr>
          <w:trHeight w:val="215"/>
        </w:trPr>
        <w:tc>
          <w:tcPr>
            <w:tcW w:w="2760" w:type="dxa"/>
            <w:vAlign w:val="bottom"/>
          </w:tcPr>
          <w:p>
            <w:pPr>
              <w:spacing w:after="0"/>
              <w:rPr>
                <w:sz w:val="20"/>
                <w:szCs w:val="20"/>
                <w:color w:val="auto"/>
              </w:rPr>
            </w:pPr>
            <w:r>
              <w:rPr>
                <w:rFonts w:ascii="Arial" w:cs="Arial" w:eastAsia="Arial" w:hAnsi="Arial"/>
                <w:sz w:val="16"/>
                <w:szCs w:val="16"/>
                <w:color w:val="auto"/>
              </w:rPr>
              <w:t>Signed:</w:t>
            </w:r>
          </w:p>
        </w:tc>
        <w:tc>
          <w:tcPr>
            <w:tcW w:w="3060" w:type="dxa"/>
            <w:vAlign w:val="bottom"/>
          </w:tcPr>
          <w:p>
            <w:pPr>
              <w:ind w:left="2200"/>
              <w:spacing w:after="0"/>
              <w:rPr>
                <w:sz w:val="20"/>
                <w:szCs w:val="20"/>
                <w:color w:val="auto"/>
              </w:rPr>
            </w:pPr>
            <w:r>
              <w:rPr>
                <w:rFonts w:ascii="Arial" w:cs="Arial" w:eastAsia="Arial" w:hAnsi="Arial"/>
                <w:sz w:val="16"/>
                <w:szCs w:val="16"/>
                <w:color w:val="auto"/>
                <w:w w:val="99"/>
              </w:rPr>
              <w:t>Print Name:</w:t>
            </w:r>
          </w:p>
        </w:tc>
      </w:tr>
    </w:tbl>
    <w:p>
      <w:pPr>
        <w:spacing w:after="0" w:line="284" w:lineRule="exact"/>
        <w:rPr>
          <w:sz w:val="20"/>
          <w:szCs w:val="20"/>
          <w:color w:val="auto"/>
        </w:rPr>
      </w:pPr>
    </w:p>
    <w:tbl>
      <w:tblPr>
        <w:tblLayout w:type="fixed"/>
        <w:tblInd w:w="640" w:type="dxa"/>
        <w:tblCellMar>
          <w:top w:w="0" w:type="dxa"/>
          <w:left w:w="0" w:type="dxa"/>
          <w:bottom w:w="0" w:type="dxa"/>
          <w:right w:w="0" w:type="dxa"/>
        </w:tblCellMar>
      </w:tblPr>
      <w:tr>
        <w:trPr>
          <w:trHeight w:val="297"/>
        </w:trPr>
        <w:tc>
          <w:tcPr>
            <w:tcW w:w="2660" w:type="dxa"/>
            <w:vAlign w:val="bottom"/>
          </w:tcPr>
          <w:p>
            <w:pPr>
              <w:spacing w:after="0"/>
              <w:rPr>
                <w:sz w:val="20"/>
                <w:szCs w:val="20"/>
                <w:color w:val="auto"/>
              </w:rPr>
            </w:pPr>
            <w:r>
              <w:rPr>
                <w:rFonts w:ascii="Arial" w:cs="Arial" w:eastAsia="Arial" w:hAnsi="Arial"/>
                <w:sz w:val="22"/>
                <w:szCs w:val="22"/>
                <w:b w:val="1"/>
                <w:bCs w:val="1"/>
                <w:color w:val="auto"/>
              </w:rPr>
              <w:t>X</w:t>
            </w:r>
          </w:p>
        </w:tc>
        <w:tc>
          <w:tcPr>
            <w:tcW w:w="2700" w:type="dxa"/>
            <w:vAlign w:val="bottom"/>
          </w:tcPr>
          <w:p>
            <w:pPr>
              <w:spacing w:after="0"/>
              <w:rPr>
                <w:sz w:val="24"/>
                <w:szCs w:val="24"/>
                <w:color w:val="auto"/>
              </w:rPr>
            </w:pPr>
          </w:p>
        </w:tc>
      </w:tr>
      <w:tr>
        <w:trPr>
          <w:trHeight w:val="296"/>
        </w:trPr>
        <w:tc>
          <w:tcPr>
            <w:tcW w:w="2660" w:type="dxa"/>
            <w:vAlign w:val="bottom"/>
          </w:tcPr>
          <w:p>
            <w:pPr>
              <w:spacing w:after="0"/>
              <w:rPr>
                <w:sz w:val="20"/>
                <w:szCs w:val="20"/>
                <w:color w:val="auto"/>
              </w:rPr>
            </w:pPr>
            <w:r>
              <w:rPr>
                <w:rFonts w:ascii="Arial" w:cs="Arial" w:eastAsia="Arial" w:hAnsi="Arial"/>
                <w:sz w:val="16"/>
                <w:szCs w:val="16"/>
                <w:color w:val="auto"/>
              </w:rPr>
              <w:t>Title:</w:t>
            </w:r>
          </w:p>
        </w:tc>
        <w:tc>
          <w:tcPr>
            <w:tcW w:w="2700" w:type="dxa"/>
            <w:vAlign w:val="bottom"/>
          </w:tcPr>
          <w:p>
            <w:pPr>
              <w:ind w:left="2300"/>
              <w:spacing w:after="0"/>
              <w:rPr>
                <w:sz w:val="20"/>
                <w:szCs w:val="20"/>
                <w:color w:val="auto"/>
              </w:rPr>
            </w:pPr>
            <w:r>
              <w:rPr>
                <w:rFonts w:ascii="Arial" w:cs="Arial" w:eastAsia="Arial" w:hAnsi="Arial"/>
                <w:sz w:val="16"/>
                <w:szCs w:val="16"/>
                <w:color w:val="auto"/>
                <w:w w:val="99"/>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55892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right="9900" w:firstLine="8"/>
        <w:spacing w:after="0" w:line="854" w:lineRule="auto"/>
        <w:tabs>
          <w:tab w:leader="none" w:pos="387" w:val="left"/>
        </w:tabs>
        <w:numPr>
          <w:ilvl w:val="0"/>
          <w:numId w:val="34"/>
        </w:numPr>
        <w:rPr>
          <w:rFonts w:ascii="Arial" w:cs="Arial" w:eastAsia="Arial" w:hAnsi="Arial"/>
          <w:sz w:val="16"/>
          <w:szCs w:val="16"/>
          <w:color w:val="auto"/>
        </w:rPr>
      </w:pPr>
      <w:r>
        <w:rPr>
          <w:rFonts w:ascii="Arial" w:cs="Arial" w:eastAsia="Arial" w:hAnsi="Arial"/>
          <w:sz w:val="16"/>
          <w:szCs w:val="16"/>
          <w:color w:val="auto"/>
        </w:rPr>
        <w:t>[CLIENT] To: [GS ENTITY]</w:t>
      </w:r>
    </w:p>
    <w:p>
      <w:pPr>
        <w:spacing w:after="0"/>
        <w:rPr>
          <w:rFonts w:ascii="Arial" w:cs="Arial" w:eastAsia="Arial" w:hAnsi="Arial"/>
          <w:sz w:val="16"/>
          <w:szCs w:val="16"/>
          <w:color w:val="auto"/>
        </w:rPr>
      </w:pPr>
      <w:r>
        <w:rPr>
          <w:rFonts w:ascii="Arial" w:cs="Arial" w:eastAsia="Arial" w:hAnsi="Arial"/>
          <w:sz w:val="16"/>
          <w:szCs w:val="16"/>
          <w:color w:val="auto"/>
        </w:rPr>
        <w:t>The undersigned Issuer confirms receipt of a copy of the Termination Notice, and that it has reviewed and does not object to the Termination Notice.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100330</wp:posOffset>
            </wp:positionV>
            <wp:extent cx="6035040" cy="8318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5040" cy="831850"/>
                    </a:xfrm>
                    <a:prstGeom prst="rect">
                      <a:avLst/>
                    </a:prstGeom>
                    <a:noFill/>
                  </pic:spPr>
                </pic:pic>
              </a:graphicData>
            </a:graphic>
          </wp:anchor>
        </w:drawing>
      </w:r>
    </w:p>
    <w:p>
      <w:pPr>
        <w:spacing w:after="0" w:line="205" w:lineRule="exact"/>
        <w:rPr>
          <w:sz w:val="20"/>
          <w:szCs w:val="20"/>
          <w:color w:val="auto"/>
        </w:rPr>
      </w:pPr>
    </w:p>
    <w:tbl>
      <w:tblPr>
        <w:tblLayout w:type="fixed"/>
        <w:tblInd w:w="640" w:type="dxa"/>
        <w:tblCellMar>
          <w:top w:w="0" w:type="dxa"/>
          <w:left w:w="0" w:type="dxa"/>
          <w:bottom w:w="0" w:type="dxa"/>
          <w:right w:w="0" w:type="dxa"/>
        </w:tblCellMar>
      </w:tblPr>
      <w:tr>
        <w:trPr>
          <w:trHeight w:val="215"/>
        </w:trPr>
        <w:tc>
          <w:tcPr>
            <w:tcW w:w="2760" w:type="dxa"/>
            <w:vAlign w:val="bottom"/>
          </w:tcPr>
          <w:p>
            <w:pPr>
              <w:spacing w:after="0"/>
              <w:rPr>
                <w:sz w:val="20"/>
                <w:szCs w:val="20"/>
                <w:color w:val="auto"/>
              </w:rPr>
            </w:pPr>
            <w:r>
              <w:rPr>
                <w:rFonts w:ascii="Arial" w:cs="Arial" w:eastAsia="Arial" w:hAnsi="Arial"/>
                <w:sz w:val="16"/>
                <w:szCs w:val="16"/>
                <w:color w:val="auto"/>
              </w:rPr>
              <w:t>Signed:</w:t>
            </w:r>
          </w:p>
        </w:tc>
        <w:tc>
          <w:tcPr>
            <w:tcW w:w="3060" w:type="dxa"/>
            <w:vAlign w:val="bottom"/>
          </w:tcPr>
          <w:p>
            <w:pPr>
              <w:ind w:left="2200"/>
              <w:spacing w:after="0"/>
              <w:rPr>
                <w:sz w:val="20"/>
                <w:szCs w:val="20"/>
                <w:color w:val="auto"/>
              </w:rPr>
            </w:pPr>
            <w:r>
              <w:rPr>
                <w:rFonts w:ascii="Arial" w:cs="Arial" w:eastAsia="Arial" w:hAnsi="Arial"/>
                <w:sz w:val="16"/>
                <w:szCs w:val="16"/>
                <w:color w:val="auto"/>
                <w:w w:val="99"/>
              </w:rPr>
              <w:t>Print Name:</w:t>
            </w:r>
          </w:p>
        </w:tc>
      </w:tr>
    </w:tbl>
    <w:p>
      <w:pPr>
        <w:spacing w:after="0" w:line="298" w:lineRule="exact"/>
        <w:rPr>
          <w:sz w:val="20"/>
          <w:szCs w:val="20"/>
          <w:color w:val="auto"/>
        </w:rPr>
      </w:pPr>
    </w:p>
    <w:tbl>
      <w:tblPr>
        <w:tblLayout w:type="fixed"/>
        <w:tblInd w:w="640" w:type="dxa"/>
        <w:tblCellMar>
          <w:top w:w="0" w:type="dxa"/>
          <w:left w:w="0" w:type="dxa"/>
          <w:bottom w:w="0" w:type="dxa"/>
          <w:right w:w="0" w:type="dxa"/>
        </w:tblCellMar>
      </w:tblPr>
      <w:tr>
        <w:trPr>
          <w:trHeight w:val="297"/>
        </w:trPr>
        <w:tc>
          <w:tcPr>
            <w:tcW w:w="2660" w:type="dxa"/>
            <w:vAlign w:val="bottom"/>
          </w:tcPr>
          <w:p>
            <w:pPr>
              <w:spacing w:after="0"/>
              <w:rPr>
                <w:sz w:val="20"/>
                <w:szCs w:val="20"/>
                <w:color w:val="auto"/>
              </w:rPr>
            </w:pPr>
            <w:r>
              <w:rPr>
                <w:rFonts w:ascii="Arial" w:cs="Arial" w:eastAsia="Arial" w:hAnsi="Arial"/>
                <w:sz w:val="22"/>
                <w:szCs w:val="22"/>
                <w:b w:val="1"/>
                <w:bCs w:val="1"/>
                <w:color w:val="auto"/>
              </w:rPr>
              <w:t>X</w:t>
            </w:r>
          </w:p>
        </w:tc>
        <w:tc>
          <w:tcPr>
            <w:tcW w:w="2700" w:type="dxa"/>
            <w:vAlign w:val="bottom"/>
          </w:tcPr>
          <w:p>
            <w:pPr>
              <w:spacing w:after="0"/>
              <w:rPr>
                <w:sz w:val="24"/>
                <w:szCs w:val="24"/>
                <w:color w:val="auto"/>
              </w:rPr>
            </w:pPr>
          </w:p>
        </w:tc>
      </w:tr>
      <w:tr>
        <w:trPr>
          <w:trHeight w:val="283"/>
        </w:trPr>
        <w:tc>
          <w:tcPr>
            <w:tcW w:w="2660" w:type="dxa"/>
            <w:vAlign w:val="bottom"/>
          </w:tcPr>
          <w:p>
            <w:pPr>
              <w:spacing w:after="0"/>
              <w:rPr>
                <w:sz w:val="20"/>
                <w:szCs w:val="20"/>
                <w:color w:val="auto"/>
              </w:rPr>
            </w:pPr>
            <w:r>
              <w:rPr>
                <w:rFonts w:ascii="Arial" w:cs="Arial" w:eastAsia="Arial" w:hAnsi="Arial"/>
                <w:sz w:val="16"/>
                <w:szCs w:val="16"/>
                <w:color w:val="auto"/>
              </w:rPr>
              <w:t>Title:</w:t>
            </w:r>
          </w:p>
        </w:tc>
        <w:tc>
          <w:tcPr>
            <w:tcW w:w="2700" w:type="dxa"/>
            <w:vAlign w:val="bottom"/>
          </w:tcPr>
          <w:p>
            <w:pPr>
              <w:ind w:left="2300"/>
              <w:spacing w:after="0"/>
              <w:rPr>
                <w:sz w:val="20"/>
                <w:szCs w:val="20"/>
                <w:color w:val="auto"/>
              </w:rPr>
            </w:pPr>
            <w:r>
              <w:rPr>
                <w:rFonts w:ascii="Arial" w:cs="Arial" w:eastAsia="Arial" w:hAnsi="Arial"/>
                <w:sz w:val="16"/>
                <w:szCs w:val="16"/>
                <w:color w:val="auto"/>
                <w:w w:val="99"/>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40"/>
        <w:spacing w:after="0"/>
        <w:rPr>
          <w:sz w:val="20"/>
          <w:szCs w:val="20"/>
          <w:color w:val="auto"/>
        </w:rPr>
      </w:pPr>
      <w:r>
        <w:rPr>
          <w:rFonts w:ascii="Arial" w:cs="Arial" w:eastAsia="Arial" w:hAnsi="Arial"/>
          <w:sz w:val="14"/>
          <w:szCs w:val="14"/>
          <w:u w:val="single" w:color="auto"/>
          <w:color w:val="0563C1"/>
        </w:rPr>
        <w:t xml:space="preserve">Table of Contents </w:t>
      </w:r>
      <w:r>
        <w:rPr>
          <w:rFonts w:ascii="Arial" w:cs="Arial" w:eastAsia="Arial" w:hAnsi="Arial"/>
          <w:sz w:val="14"/>
          <w:szCs w:val="14"/>
          <w:u w:val="single" w:color="auto"/>
          <w:color w:val="000000"/>
        </w:rPr>
        <w:t>14</w:t>
      </w:r>
    </w:p>
    <w:sectPr>
      <w:pgSz w:w="11900" w:h="16838" w:orient="portrait"/>
      <w:cols w:equalWidth="0" w:num="1">
        <w:col w:w="11240"/>
      </w:cols>
      <w:pgMar w:left="320" w:top="10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2"/>
      <w:numFmt w:val="bullet"/>
      <w:start w:val="1"/>
    </w:lvl>
  </w:abstractNum>
  <w:abstractNum w:abstractNumId="1">
    <w:nsid w:val="431BD7B7"/>
    <w:multiLevelType w:val="hybridMultilevel"/>
    <w:lvl w:ilvl="0">
      <w:lvlJc w:val="left"/>
      <w:lvlText w:val="(%1)"/>
      <w:numFmt w:val="lowerLetter"/>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X"/>
      <w:numFmt w:val="bullet"/>
      <w:start w:val="1"/>
    </w:lvl>
  </w:abstractNum>
  <w:abstractNum w:abstractNumId="19">
    <w:nsid w:val="54E49EB4"/>
    <w:multiLevelType w:val="hybridMultilevel"/>
    <w:lvl w:ilvl="0">
      <w:lvlJc w:val="left"/>
      <w:lvlText w:val="%1."/>
      <w:numFmt w:val="lowerLetter"/>
      <w:start w:val="1"/>
    </w:lvl>
  </w:abstractNum>
  <w:abstractNum w:abstractNumId="20">
    <w:nsid w:val="71F32454"/>
    <w:multiLevelType w:val="hybridMultilevel"/>
    <w:lvl w:ilvl="0">
      <w:lvlJc w:val="left"/>
      <w:lvlText w:val="%1."/>
      <w:numFmt w:val="lowerLetter"/>
      <w:start w:val="1"/>
    </w:lvl>
  </w:abstractNum>
  <w:abstractNum w:abstractNumId="21">
    <w:nsid w:val="2CA88611"/>
    <w:multiLevelType w:val="hybridMultilevel"/>
    <w:lvl w:ilvl="0">
      <w:lvlJc w:val="left"/>
      <w:lvlText w:val="%1"/>
      <w:numFmt w:val="lowerLetter"/>
      <w:start w:val="1"/>
    </w:lvl>
    <w:lvl w:ilvl="1">
      <w:lvlJc w:val="left"/>
      <w:lvlText w:val="%2."/>
      <w:numFmt w:val="lowerLetter"/>
      <w:start w:val="1"/>
    </w:lvl>
  </w:abstractNum>
  <w:abstractNum w:abstractNumId="22">
    <w:nsid w:val="836C40E"/>
    <w:multiLevelType w:val="hybridMultilevel"/>
    <w:lvl w:ilvl="0">
      <w:lvlJc w:val="left"/>
      <w:lvlText w:val="%1."/>
      <w:numFmt w:val="lowerLetter"/>
      <w:start w:val="6"/>
    </w:lvl>
    <w:lvl w:ilvl="1">
      <w:lvlJc w:val="left"/>
      <w:lvlText w:val="%2"/>
      <w:numFmt w:val="lowerLetter"/>
      <w:start w:val="1"/>
    </w:lvl>
  </w:abstractNum>
  <w:abstractNum w:abstractNumId="23">
    <w:nsid w:val="2901D82"/>
    <w:multiLevelType w:val="hybridMultilevel"/>
    <w:lvl w:ilvl="0">
      <w:lvlJc w:val="left"/>
      <w:lvlText w:val="%1."/>
      <w:numFmt w:val="lowerLetter"/>
      <w:start w:val="1"/>
    </w:lvl>
  </w:abstractNum>
  <w:abstractNum w:abstractNumId="24">
    <w:nsid w:val="3A95F874"/>
    <w:multiLevelType w:val="hybridMultilevel"/>
    <w:lvl w:ilvl="0">
      <w:lvlJc w:val="left"/>
      <w:lvlText w:val="%1."/>
      <w:numFmt w:val="lowerLetter"/>
      <w:start w:val="2"/>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1."/>
      <w:numFmt w:val="lowerLetter"/>
      <w:start w:val="3"/>
    </w:lvl>
  </w:abstractNum>
  <w:abstractNum w:abstractNumId="29">
    <w:nsid w:val="6CEAF087"/>
    <w:multiLevelType w:val="hybridMultilevel"/>
    <w:lvl w:ilvl="0">
      <w:lvlJc w:val="left"/>
      <w:lvlText w:val="%1."/>
      <w:numFmt w:val="lowerLetter"/>
      <w:start w:val="1"/>
    </w:lvl>
  </w:abstractNum>
  <w:abstractNum w:abstractNumId="30">
    <w:nsid w:val="22221A70"/>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1">
    <w:nsid w:val="4516DDE9"/>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abstractNum>
  <w:abstractNum w:abstractNumId="32">
    <w:nsid w:val="3006C83E"/>
    <w:multiLevelType w:val="hybridMultilevel"/>
    <w:lvl w:ilvl="0">
      <w:lvlJc w:val="left"/>
      <w:lvlText w:val="%1:"/>
      <w:numFmt w:val="lowerLetter"/>
      <w:start w:val="29"/>
    </w:lvl>
  </w:abstractNum>
  <w:abstractNum w:abstractNumId="33">
    <w:nsid w:val="614FD4A1"/>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2026-06-18T16:57:00Z</dcterms:created>
  <dcterms:modified xsi:type="dcterms:W3CDTF">2026-06-18T16:57:00Z</dcterms:modified>
</cp:coreProperties>
</file>